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B577" w14:textId="041D9E4F" w:rsidR="009D421C" w:rsidRPr="003D7955" w:rsidRDefault="009D421C" w:rsidP="00492EB5">
      <w:pPr>
        <w:spacing w:line="276" w:lineRule="auto"/>
        <w:jc w:val="center"/>
        <w:rPr>
          <w:rFonts w:ascii="Garamond" w:hAnsi="Garamond" w:cs="Times New Roman"/>
          <w:b/>
          <w:lang w:val="it-IT"/>
        </w:rPr>
      </w:pPr>
      <w:r w:rsidRPr="003D7955">
        <w:rPr>
          <w:rFonts w:ascii="Garamond" w:hAnsi="Garamond" w:cs="Times New Roman"/>
          <w:b/>
          <w:lang w:val="it-IT"/>
        </w:rPr>
        <w:t xml:space="preserve">Tirocinio per gli studenti di Civiltà Antiche e Archeologia: Oriente e Occidente </w:t>
      </w:r>
      <w:r w:rsidR="009F0FE3" w:rsidRPr="003D7955">
        <w:rPr>
          <w:rFonts w:ascii="Garamond" w:hAnsi="Garamond" w:cs="TimesNewRomanPSMT"/>
          <w:b/>
          <w:lang w:val="it-IT"/>
        </w:rPr>
        <w:t>Culture antiche e archeologia: Asia, Africa e Mediterraneo</w:t>
      </w:r>
      <w:r w:rsidR="009F0FE3" w:rsidRPr="003D7955">
        <w:rPr>
          <w:rFonts w:ascii="Garamond" w:hAnsi="Garamond" w:cs="TimesNewRomanPSMT"/>
          <w:b/>
          <w:lang w:val="it-IT"/>
        </w:rPr>
        <w:t xml:space="preserve"> </w:t>
      </w:r>
      <w:r w:rsidRPr="003D7955">
        <w:rPr>
          <w:rFonts w:ascii="Garamond" w:hAnsi="Garamond" w:cs="Times New Roman"/>
          <w:b/>
          <w:lang w:val="it-IT"/>
        </w:rPr>
        <w:t>– Triennio</w:t>
      </w:r>
    </w:p>
    <w:p w14:paraId="1672B187" w14:textId="77777777" w:rsidR="008A2A39" w:rsidRPr="003D7955" w:rsidRDefault="008A2A39" w:rsidP="00492EB5">
      <w:pPr>
        <w:spacing w:after="200" w:line="276" w:lineRule="auto"/>
        <w:jc w:val="center"/>
        <w:rPr>
          <w:rFonts w:ascii="Garamond" w:eastAsia="Times New Roman" w:hAnsi="Garamond" w:cs="Times New Roman"/>
          <w:b/>
          <w:lang w:val="it-IT" w:eastAsia="fr-FR"/>
        </w:rPr>
      </w:pPr>
    </w:p>
    <w:p w14:paraId="4F9B7ED1" w14:textId="3992C954" w:rsidR="009D421C" w:rsidRPr="003D7955" w:rsidRDefault="00200660" w:rsidP="00492EB5">
      <w:pPr>
        <w:spacing w:after="200" w:line="276" w:lineRule="auto"/>
        <w:jc w:val="center"/>
        <w:rPr>
          <w:rFonts w:ascii="Garamond" w:hAnsi="Garamond" w:cs="Times New Roman"/>
          <w:b/>
          <w:lang w:val="it-IT"/>
        </w:rPr>
      </w:pPr>
      <w:r w:rsidRPr="003D7955">
        <w:rPr>
          <w:rFonts w:ascii="Garamond" w:eastAsia="Times New Roman" w:hAnsi="Garamond" w:cs="Times New Roman"/>
          <w:b/>
          <w:lang w:val="it-IT" w:eastAsia="fr-FR"/>
        </w:rPr>
        <w:t>S</w:t>
      </w:r>
      <w:r w:rsidR="008A2A39" w:rsidRPr="003D7955">
        <w:rPr>
          <w:rFonts w:ascii="Garamond" w:eastAsia="Times New Roman" w:hAnsi="Garamond" w:cs="Times New Roman"/>
          <w:b/>
          <w:lang w:val="it-IT" w:eastAsia="fr-FR"/>
        </w:rPr>
        <w:t xml:space="preserve">cavo archeologico presso </w:t>
      </w:r>
      <w:r w:rsidR="0017331A" w:rsidRPr="003D7955">
        <w:rPr>
          <w:rFonts w:ascii="Garamond" w:eastAsia="Times New Roman" w:hAnsi="Garamond" w:cs="Times New Roman"/>
          <w:b/>
          <w:lang w:val="it-IT" w:eastAsia="fr-FR"/>
        </w:rPr>
        <w:t>la villa imperiale del Pausilypon</w:t>
      </w:r>
    </w:p>
    <w:p w14:paraId="351F595A" w14:textId="77777777" w:rsidR="00370AC3" w:rsidRPr="003D7955" w:rsidRDefault="00370AC3" w:rsidP="00492EB5">
      <w:pPr>
        <w:pStyle w:val="BodyA"/>
        <w:spacing w:before="60" w:after="200" w:line="276" w:lineRule="auto"/>
        <w:jc w:val="both"/>
        <w:rPr>
          <w:rFonts w:ascii="Garamond" w:hAnsi="Garamond" w:cs="Times New Roman"/>
          <w:b/>
        </w:rPr>
      </w:pPr>
    </w:p>
    <w:p w14:paraId="3D9D7A57" w14:textId="4CEB391C" w:rsidR="006361AA" w:rsidRPr="003D7955" w:rsidRDefault="006361AA" w:rsidP="006361AA">
      <w:pPr>
        <w:pStyle w:val="BodyA"/>
        <w:spacing w:after="120" w:line="276" w:lineRule="auto"/>
        <w:jc w:val="both"/>
        <w:rPr>
          <w:rFonts w:ascii="Garamond" w:hAnsi="Garamond" w:cs="Times New Roman"/>
        </w:rPr>
      </w:pPr>
      <w:r w:rsidRPr="003D7955">
        <w:rPr>
          <w:rFonts w:ascii="Garamond" w:hAnsi="Garamond" w:cs="Times New Roman"/>
          <w:b/>
        </w:rPr>
        <w:t>Docente proponente</w:t>
      </w:r>
      <w:r w:rsidRPr="003D7955">
        <w:rPr>
          <w:rFonts w:ascii="Garamond" w:hAnsi="Garamond" w:cs="Times New Roman"/>
        </w:rPr>
        <w:t>: Marco Giglio.</w:t>
      </w:r>
    </w:p>
    <w:p w14:paraId="5D6B1F0A" w14:textId="77777777" w:rsidR="006361AA" w:rsidRPr="003D7955" w:rsidRDefault="006361AA" w:rsidP="006361AA">
      <w:pPr>
        <w:pStyle w:val="BodyA"/>
        <w:spacing w:after="120" w:line="276" w:lineRule="auto"/>
        <w:jc w:val="both"/>
        <w:rPr>
          <w:rFonts w:ascii="Garamond" w:hAnsi="Garamond" w:cs="Times New Roman"/>
        </w:rPr>
      </w:pPr>
      <w:r w:rsidRPr="003D7955">
        <w:rPr>
          <w:rFonts w:ascii="Garamond" w:hAnsi="Garamond" w:cs="Times New Roman"/>
          <w:b/>
        </w:rPr>
        <w:t>Durata</w:t>
      </w:r>
      <w:r w:rsidRPr="003D7955">
        <w:rPr>
          <w:rFonts w:ascii="Garamond" w:hAnsi="Garamond" w:cs="Times New Roman"/>
        </w:rPr>
        <w:t>: 100 ore (4 CFU).</w:t>
      </w:r>
    </w:p>
    <w:p w14:paraId="0B8E485F" w14:textId="56886986" w:rsidR="00E1485F" w:rsidRPr="003D7955" w:rsidRDefault="006361AA" w:rsidP="006361AA">
      <w:pPr>
        <w:spacing w:after="120" w:line="276" w:lineRule="auto"/>
        <w:jc w:val="both"/>
        <w:rPr>
          <w:rFonts w:ascii="Garamond" w:hAnsi="Garamond" w:cs="Times New Roman"/>
          <w:lang w:val="it-IT"/>
        </w:rPr>
      </w:pPr>
      <w:r w:rsidRPr="003D7955">
        <w:rPr>
          <w:rFonts w:ascii="Garamond" w:hAnsi="Garamond" w:cs="Times New Roman"/>
          <w:b/>
          <w:lang w:val="it-IT"/>
        </w:rPr>
        <w:t>Modalità di accesso</w:t>
      </w:r>
      <w:r w:rsidR="00E1485F" w:rsidRPr="003D7955">
        <w:rPr>
          <w:rFonts w:ascii="Garamond" w:hAnsi="Garamond" w:cs="Times New Roman"/>
          <w:lang w:val="it-IT"/>
        </w:rPr>
        <w:t xml:space="preserve"> il numero massimo di partecipanti è fissato a </w:t>
      </w:r>
      <w:r w:rsidR="0085793C" w:rsidRPr="003D7955">
        <w:rPr>
          <w:rFonts w:ascii="Garamond" w:hAnsi="Garamond" w:cs="Times New Roman"/>
          <w:lang w:val="it-IT"/>
        </w:rPr>
        <w:t>30</w:t>
      </w:r>
      <w:r w:rsidR="00E1485F" w:rsidRPr="003D7955">
        <w:rPr>
          <w:rFonts w:ascii="Garamond" w:hAnsi="Garamond" w:cs="Times New Roman"/>
          <w:lang w:val="it-IT"/>
        </w:rPr>
        <w:t xml:space="preserve"> studenti</w:t>
      </w:r>
      <w:r w:rsidR="0085793C" w:rsidRPr="003D7955">
        <w:rPr>
          <w:rFonts w:ascii="Garamond" w:hAnsi="Garamond" w:cs="Times New Roman"/>
          <w:lang w:val="it-IT"/>
        </w:rPr>
        <w:t xml:space="preserve"> del corso di laurea triennale e magistrale</w:t>
      </w:r>
      <w:r w:rsidR="00E1485F" w:rsidRPr="003D7955">
        <w:rPr>
          <w:rFonts w:ascii="Garamond" w:hAnsi="Garamond" w:cs="Times New Roman"/>
          <w:lang w:val="it-IT"/>
        </w:rPr>
        <w:t xml:space="preserve">. Lo svolgimento del tirocinio sarà subordinato al conseguimento da parte degli studenti del certificato del Corso di Formazione generale in materia di sicurezza sul lavoro (durata 4 ore) e il Corso di Formazione Specifico dei lavoratori nei Cantieri Edili (durata 12 ore), a cui sono equiparati i cantieri archeologici, ai sensi del D. Lgs. 81/2008 e </w:t>
      </w:r>
      <w:proofErr w:type="spellStart"/>
      <w:r w:rsidR="00E1485F" w:rsidRPr="003D7955">
        <w:rPr>
          <w:rFonts w:ascii="Garamond" w:hAnsi="Garamond" w:cs="Times New Roman"/>
          <w:lang w:val="it-IT"/>
        </w:rPr>
        <w:t>s.m.i.</w:t>
      </w:r>
      <w:proofErr w:type="spellEnd"/>
      <w:r w:rsidR="00E1485F" w:rsidRPr="003D7955">
        <w:rPr>
          <w:rFonts w:ascii="Garamond" w:hAnsi="Garamond" w:cs="Times New Roman"/>
          <w:lang w:val="it-IT"/>
        </w:rPr>
        <w:t>.</w:t>
      </w:r>
    </w:p>
    <w:p w14:paraId="23470013" w14:textId="5E0D5447" w:rsidR="006361AA" w:rsidRPr="003D7955" w:rsidRDefault="006361AA" w:rsidP="006361AA">
      <w:pPr>
        <w:spacing w:after="120" w:line="276" w:lineRule="auto"/>
        <w:jc w:val="both"/>
        <w:rPr>
          <w:rFonts w:ascii="Garamond" w:hAnsi="Garamond" w:cs="Times New Roman"/>
          <w:lang w:val="it-IT"/>
        </w:rPr>
      </w:pPr>
      <w:r w:rsidRPr="003D7955">
        <w:rPr>
          <w:rFonts w:ascii="Garamond" w:hAnsi="Garamond" w:cs="Times New Roman"/>
          <w:lang w:val="it-IT"/>
        </w:rPr>
        <w:t>Per l’iscrizione occorre inviare una richiesta al dott. Marco Giglio (</w:t>
      </w:r>
      <w:hyperlink r:id="rId8" w:history="1">
        <w:r w:rsidRPr="003D7955">
          <w:rPr>
            <w:rStyle w:val="Collegamentoipertestuale"/>
            <w:rFonts w:ascii="Garamond" w:hAnsi="Garamond" w:cs="Times New Roman"/>
            <w:lang w:val="it-IT"/>
          </w:rPr>
          <w:t>mgiglio@unior.it</w:t>
        </w:r>
      </w:hyperlink>
      <w:r w:rsidRPr="003D7955">
        <w:rPr>
          <w:rFonts w:ascii="Garamond" w:hAnsi="Garamond" w:cs="Times New Roman"/>
          <w:lang w:val="it-IT"/>
        </w:rPr>
        <w:t xml:space="preserve">) entro il </w:t>
      </w:r>
      <w:r w:rsidR="00F518AB" w:rsidRPr="003D7955">
        <w:rPr>
          <w:rFonts w:ascii="Garamond" w:hAnsi="Garamond" w:cs="Times New Roman"/>
          <w:lang w:val="it-IT"/>
        </w:rPr>
        <w:t>30 aprile</w:t>
      </w:r>
      <w:r w:rsidRPr="003D7955">
        <w:rPr>
          <w:rFonts w:ascii="Garamond" w:hAnsi="Garamond" w:cs="Times New Roman"/>
          <w:lang w:val="it-IT"/>
        </w:rPr>
        <w:t xml:space="preserve"> 202</w:t>
      </w:r>
      <w:r w:rsidR="009F0FE3" w:rsidRPr="003D7955">
        <w:rPr>
          <w:rFonts w:ascii="Garamond" w:hAnsi="Garamond" w:cs="Times New Roman"/>
          <w:lang w:val="it-IT"/>
        </w:rPr>
        <w:t>4</w:t>
      </w:r>
      <w:r w:rsidRPr="003D7955">
        <w:rPr>
          <w:rFonts w:ascii="Garamond" w:hAnsi="Garamond" w:cs="Times New Roman"/>
          <w:lang w:val="it-IT"/>
        </w:rPr>
        <w:t>.</w:t>
      </w:r>
    </w:p>
    <w:p w14:paraId="75DAAA59" w14:textId="5E6C1214" w:rsidR="006361AA" w:rsidRPr="003D7955" w:rsidRDefault="006361AA" w:rsidP="006361AA">
      <w:pPr>
        <w:pStyle w:val="BodyA"/>
        <w:spacing w:after="120" w:line="276" w:lineRule="auto"/>
        <w:jc w:val="both"/>
        <w:rPr>
          <w:rFonts w:ascii="Garamond" w:hAnsi="Garamond" w:cs="Times New Roman"/>
        </w:rPr>
      </w:pPr>
      <w:r w:rsidRPr="003D7955">
        <w:rPr>
          <w:rFonts w:ascii="Garamond" w:hAnsi="Garamond" w:cs="Times New Roman"/>
          <w:b/>
        </w:rPr>
        <w:t>Periodo di svolgimento</w:t>
      </w:r>
      <w:r w:rsidRPr="003D7955">
        <w:rPr>
          <w:rFonts w:ascii="Garamond" w:hAnsi="Garamond" w:cs="Times New Roman"/>
        </w:rPr>
        <w:t xml:space="preserve">: </w:t>
      </w:r>
      <w:r w:rsidR="00854860" w:rsidRPr="003D7955">
        <w:rPr>
          <w:rFonts w:ascii="Garamond" w:hAnsi="Garamond" w:cs="Times New Roman"/>
        </w:rPr>
        <w:t>2</w:t>
      </w:r>
      <w:r w:rsidR="009F0FE3" w:rsidRPr="003D7955">
        <w:rPr>
          <w:rFonts w:ascii="Garamond" w:hAnsi="Garamond" w:cs="Times New Roman"/>
        </w:rPr>
        <w:t>0</w:t>
      </w:r>
      <w:r w:rsidR="00854860" w:rsidRPr="003D7955">
        <w:rPr>
          <w:rFonts w:ascii="Garamond" w:hAnsi="Garamond" w:cs="Times New Roman"/>
        </w:rPr>
        <w:t xml:space="preserve"> maggio</w:t>
      </w:r>
      <w:r w:rsidR="0017331A" w:rsidRPr="003D7955">
        <w:rPr>
          <w:rFonts w:ascii="Garamond" w:hAnsi="Garamond" w:cs="Times New Roman"/>
        </w:rPr>
        <w:t xml:space="preserve"> – </w:t>
      </w:r>
      <w:r w:rsidR="009F0FE3" w:rsidRPr="003D7955">
        <w:rPr>
          <w:rFonts w:ascii="Garamond" w:hAnsi="Garamond" w:cs="Times New Roman"/>
        </w:rPr>
        <w:t>14</w:t>
      </w:r>
      <w:r w:rsidR="0017331A" w:rsidRPr="003D7955">
        <w:rPr>
          <w:rFonts w:ascii="Garamond" w:hAnsi="Garamond" w:cs="Times New Roman"/>
        </w:rPr>
        <w:t xml:space="preserve"> </w:t>
      </w:r>
      <w:r w:rsidR="00854860" w:rsidRPr="003D7955">
        <w:rPr>
          <w:rFonts w:ascii="Garamond" w:hAnsi="Garamond" w:cs="Times New Roman"/>
        </w:rPr>
        <w:t>giugno</w:t>
      </w:r>
      <w:r w:rsidRPr="003D7955">
        <w:rPr>
          <w:rFonts w:ascii="Garamond" w:hAnsi="Garamond" w:cs="Times New Roman"/>
        </w:rPr>
        <w:t xml:space="preserve"> 202</w:t>
      </w:r>
      <w:r w:rsidR="009F0FE3" w:rsidRPr="003D7955">
        <w:rPr>
          <w:rFonts w:ascii="Garamond" w:hAnsi="Garamond" w:cs="Times New Roman"/>
        </w:rPr>
        <w:t>4</w:t>
      </w:r>
    </w:p>
    <w:p w14:paraId="60C6032E" w14:textId="77777777" w:rsidR="006361AA" w:rsidRPr="003D7955" w:rsidRDefault="006361AA" w:rsidP="006361AA">
      <w:pPr>
        <w:pStyle w:val="Default"/>
        <w:spacing w:after="120" w:line="276" w:lineRule="auto"/>
        <w:jc w:val="both"/>
        <w:rPr>
          <w:rFonts w:ascii="Garamond" w:hAnsi="Garamond"/>
        </w:rPr>
      </w:pPr>
      <w:r w:rsidRPr="003D7955">
        <w:rPr>
          <w:rFonts w:ascii="Garamond" w:hAnsi="Garamond"/>
          <w:b/>
        </w:rPr>
        <w:t>Obiettivi formativi</w:t>
      </w:r>
      <w:r w:rsidRPr="003D7955">
        <w:rPr>
          <w:rFonts w:ascii="Garamond" w:hAnsi="Garamond"/>
        </w:rPr>
        <w:t xml:space="preserve">: </w:t>
      </w:r>
    </w:p>
    <w:p w14:paraId="2774D673" w14:textId="05F91F42" w:rsidR="006361AA" w:rsidRPr="003D7955" w:rsidRDefault="006361AA" w:rsidP="006361AA">
      <w:pPr>
        <w:pStyle w:val="Default"/>
        <w:spacing w:after="120" w:line="276" w:lineRule="auto"/>
        <w:jc w:val="both"/>
        <w:rPr>
          <w:rFonts w:ascii="Garamond" w:hAnsi="Garamond"/>
        </w:rPr>
      </w:pPr>
      <w:r w:rsidRPr="003D7955">
        <w:rPr>
          <w:rFonts w:ascii="Garamond" w:hAnsi="Garamond"/>
        </w:rPr>
        <w:t xml:space="preserve">le attività di tirocinio consentiranno di approfondire la conoscenza delle tipologie architettoniche </w:t>
      </w:r>
      <w:r w:rsidR="0017331A" w:rsidRPr="003D7955">
        <w:rPr>
          <w:rFonts w:ascii="Garamond" w:hAnsi="Garamond"/>
        </w:rPr>
        <w:t xml:space="preserve">della villa imperiale del </w:t>
      </w:r>
      <w:proofErr w:type="spellStart"/>
      <w:r w:rsidR="0017331A" w:rsidRPr="003D7955">
        <w:rPr>
          <w:rFonts w:ascii="Garamond" w:hAnsi="Garamond"/>
        </w:rPr>
        <w:t>Pausiluypon</w:t>
      </w:r>
      <w:proofErr w:type="spellEnd"/>
      <w:r w:rsidR="0017331A" w:rsidRPr="003D7955">
        <w:rPr>
          <w:rFonts w:ascii="Garamond" w:hAnsi="Garamond"/>
        </w:rPr>
        <w:t xml:space="preserve"> a Napoli</w:t>
      </w:r>
      <w:r w:rsidRPr="003D7955">
        <w:rPr>
          <w:rFonts w:ascii="Garamond" w:hAnsi="Garamond"/>
        </w:rPr>
        <w:t xml:space="preserve">, di sviluppare specifiche competenze sulle metodologie dello scavo stratigrafico, sulla produzione e la prima gestione dei dati acquisiti, sullo studio e la catalogazione dei reperti archeologici e sull’esecuzione del rilievo diretto ed indiretto, ivi comprese le tecniche di rilievo fotogrammetrico, delle strutture visibili e di quelle messe in luce durante l’attività di scavo. La schedatura delle evidenze, inoltre, permetterà di acquisire nozioni sullo stato di conservazione, sul restauro e sulla manutenzione programmata. </w:t>
      </w:r>
    </w:p>
    <w:p w14:paraId="4853D258" w14:textId="77777777" w:rsidR="006361AA" w:rsidRPr="003D7955" w:rsidRDefault="006361AA" w:rsidP="006361AA">
      <w:pPr>
        <w:pStyle w:val="BodyA"/>
        <w:spacing w:after="120" w:line="276" w:lineRule="auto"/>
        <w:jc w:val="both"/>
        <w:rPr>
          <w:rFonts w:ascii="Garamond" w:hAnsi="Garamond" w:cs="Times New Roman"/>
        </w:rPr>
      </w:pPr>
      <w:r w:rsidRPr="003D7955">
        <w:rPr>
          <w:rFonts w:ascii="Garamond" w:hAnsi="Garamond" w:cs="Times New Roman"/>
          <w:b/>
        </w:rPr>
        <w:t>Piano delle attività</w:t>
      </w:r>
      <w:r w:rsidRPr="003D7955">
        <w:rPr>
          <w:rFonts w:ascii="Garamond" w:hAnsi="Garamond" w:cs="Times New Roman"/>
        </w:rPr>
        <w:t>:</w:t>
      </w:r>
    </w:p>
    <w:p w14:paraId="52B94845" w14:textId="7DA13A87" w:rsidR="006361AA" w:rsidRPr="003D7955" w:rsidRDefault="006361AA" w:rsidP="006361AA">
      <w:pPr>
        <w:pStyle w:val="BodyA"/>
        <w:spacing w:after="120" w:line="276" w:lineRule="auto"/>
        <w:jc w:val="both"/>
        <w:rPr>
          <w:rFonts w:ascii="Garamond" w:hAnsi="Garamond" w:cs="Arial"/>
        </w:rPr>
      </w:pPr>
      <w:r w:rsidRPr="003D7955">
        <w:rPr>
          <w:rFonts w:ascii="Garamond" w:hAnsi="Garamond"/>
        </w:rPr>
        <w:t>Partecipazione alle attività di scavo, organizzata in saggi</w:t>
      </w:r>
      <w:r w:rsidR="00854860" w:rsidRPr="003D7955">
        <w:rPr>
          <w:rFonts w:ascii="Garamond" w:hAnsi="Garamond"/>
        </w:rPr>
        <w:t xml:space="preserve"> (</w:t>
      </w:r>
      <w:r w:rsidR="008450EF" w:rsidRPr="003D7955">
        <w:rPr>
          <w:rFonts w:ascii="Garamond" w:hAnsi="Garamond"/>
        </w:rPr>
        <w:t>area delle terme superiori della villa e cd. vigneto)</w:t>
      </w:r>
      <w:r w:rsidRPr="003D7955">
        <w:rPr>
          <w:rFonts w:ascii="Garamond" w:hAnsi="Garamond"/>
        </w:rPr>
        <w:t xml:space="preserve">. Nell’ambito dei singoli saggi di scavo sarà effettuata una documentazione delle stratigrafie messe in luce, attraverso la compilazione del diario di scavo e delle schede US </w:t>
      </w:r>
      <w:r w:rsidR="008450EF" w:rsidRPr="003D7955">
        <w:rPr>
          <w:rFonts w:ascii="Garamond" w:hAnsi="Garamond"/>
        </w:rPr>
        <w:t xml:space="preserve">sul modello </w:t>
      </w:r>
      <w:r w:rsidRPr="003D7955">
        <w:rPr>
          <w:rFonts w:ascii="Garamond" w:hAnsi="Garamond"/>
        </w:rPr>
        <w:t>dell’ICCD. Inoltre, verrà effettuata sia la documentazione grafica, attraverso metodologie di rilievo diretto e indiretto (</w:t>
      </w:r>
      <w:proofErr w:type="spellStart"/>
      <w:r w:rsidRPr="003D7955">
        <w:rPr>
          <w:rFonts w:ascii="Garamond" w:hAnsi="Garamond"/>
        </w:rPr>
        <w:t>total</w:t>
      </w:r>
      <w:proofErr w:type="spellEnd"/>
      <w:r w:rsidRPr="003D7955">
        <w:rPr>
          <w:rFonts w:ascii="Garamond" w:hAnsi="Garamond"/>
        </w:rPr>
        <w:t xml:space="preserve"> station, SFM, </w:t>
      </w:r>
      <w:proofErr w:type="spellStart"/>
      <w:r w:rsidRPr="003D7955">
        <w:rPr>
          <w:rFonts w:ascii="Garamond" w:hAnsi="Garamond"/>
        </w:rPr>
        <w:t>laserscanner</w:t>
      </w:r>
      <w:proofErr w:type="spellEnd"/>
      <w:r w:rsidRPr="003D7955">
        <w:rPr>
          <w:rFonts w:ascii="Garamond" w:hAnsi="Garamond"/>
        </w:rPr>
        <w:t xml:space="preserve"> 3d) sia fotografica. Nell’ambito delle attività di scavo si provvederà alla prima catalogazione dei reperti archeologici. La documentazione prodotta nel corso dello scavo sarà di volta in volta digitalizzata e </w:t>
      </w:r>
      <w:proofErr w:type="spellStart"/>
      <w:r w:rsidRPr="003D7955">
        <w:rPr>
          <w:rFonts w:ascii="Garamond" w:hAnsi="Garamond"/>
        </w:rPr>
        <w:t>vettorializzata</w:t>
      </w:r>
      <w:proofErr w:type="spellEnd"/>
      <w:r w:rsidRPr="003D7955">
        <w:rPr>
          <w:rFonts w:ascii="Garamond" w:hAnsi="Garamond"/>
        </w:rPr>
        <w:t>, secondo i più diffusi sistemi di gestione degli archivi digitali di scavo.</w:t>
      </w:r>
    </w:p>
    <w:p w14:paraId="291651CA" w14:textId="30AA037C" w:rsidR="006361AA" w:rsidRPr="003D7955" w:rsidRDefault="006361AA" w:rsidP="006361AA">
      <w:pPr>
        <w:pStyle w:val="BodyA"/>
        <w:spacing w:after="120" w:line="276" w:lineRule="auto"/>
        <w:jc w:val="both"/>
        <w:rPr>
          <w:rFonts w:ascii="Garamond" w:hAnsi="Garamond" w:cs="Times New Roman"/>
        </w:rPr>
      </w:pPr>
      <w:r w:rsidRPr="003D7955">
        <w:rPr>
          <w:rFonts w:ascii="Garamond" w:hAnsi="Garamond" w:cs="Times New Roman"/>
          <w:b/>
        </w:rPr>
        <w:t>Tutor</w:t>
      </w:r>
      <w:r w:rsidRPr="003D7955">
        <w:rPr>
          <w:rFonts w:ascii="Garamond" w:hAnsi="Garamond" w:cs="Times New Roman"/>
        </w:rPr>
        <w:t xml:space="preserve">: </w:t>
      </w:r>
      <w:r w:rsidR="007B4A3A" w:rsidRPr="003D7955">
        <w:rPr>
          <w:rFonts w:ascii="Garamond" w:hAnsi="Garamond" w:cs="Times New Roman"/>
        </w:rPr>
        <w:t>Marco Giglio e Chiara Mattei</w:t>
      </w:r>
    </w:p>
    <w:p w14:paraId="5E7762CC" w14:textId="66574922" w:rsidR="005B035C" w:rsidRPr="003D7955" w:rsidRDefault="005B035C" w:rsidP="006361AA">
      <w:pPr>
        <w:pStyle w:val="BodyA"/>
        <w:spacing w:after="120" w:line="276" w:lineRule="auto"/>
        <w:jc w:val="both"/>
        <w:rPr>
          <w:rFonts w:ascii="Garamond" w:hAnsi="Garamond" w:cs="Times New Roman"/>
        </w:rPr>
      </w:pPr>
    </w:p>
    <w:sectPr w:rsidR="005B035C" w:rsidRPr="003D7955" w:rsidSect="007E6DA2"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AEFF" w14:textId="77777777" w:rsidR="007E6DA2" w:rsidRDefault="007E6DA2" w:rsidP="008752A9">
      <w:r>
        <w:separator/>
      </w:r>
    </w:p>
  </w:endnote>
  <w:endnote w:type="continuationSeparator" w:id="0">
    <w:p w14:paraId="45AEA83C" w14:textId="77777777" w:rsidR="007E6DA2" w:rsidRDefault="007E6DA2" w:rsidP="0087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57259017"/>
      <w:docPartObj>
        <w:docPartGallery w:val="Page Numbers (Bottom of Page)"/>
        <w:docPartUnique/>
      </w:docPartObj>
    </w:sdtPr>
    <w:sdtContent>
      <w:p w14:paraId="5DEF1662" w14:textId="77777777" w:rsidR="008752A9" w:rsidRDefault="008752A9" w:rsidP="009D45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3A9B72" w14:textId="77777777" w:rsidR="008752A9" w:rsidRDefault="008752A9" w:rsidP="008752A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5381688"/>
      <w:docPartObj>
        <w:docPartGallery w:val="Page Numbers (Bottom of Page)"/>
        <w:docPartUnique/>
      </w:docPartObj>
    </w:sdtPr>
    <w:sdtContent>
      <w:p w14:paraId="7786C267" w14:textId="77777777" w:rsidR="008752A9" w:rsidRDefault="008752A9" w:rsidP="009D45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7DCCEF3" w14:textId="77777777" w:rsidR="008752A9" w:rsidRDefault="008752A9" w:rsidP="008752A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BE2E" w14:textId="77777777" w:rsidR="007E6DA2" w:rsidRDefault="007E6DA2" w:rsidP="008752A9">
      <w:r>
        <w:separator/>
      </w:r>
    </w:p>
  </w:footnote>
  <w:footnote w:type="continuationSeparator" w:id="0">
    <w:p w14:paraId="7375D700" w14:textId="77777777" w:rsidR="007E6DA2" w:rsidRDefault="007E6DA2" w:rsidP="0087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5B6"/>
    <w:multiLevelType w:val="hybridMultilevel"/>
    <w:tmpl w:val="2E2A5D50"/>
    <w:lvl w:ilvl="0" w:tplc="83723CF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27C0"/>
    <w:multiLevelType w:val="hybridMultilevel"/>
    <w:tmpl w:val="ABB84D58"/>
    <w:lvl w:ilvl="0" w:tplc="0D88648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734F"/>
    <w:multiLevelType w:val="hybridMultilevel"/>
    <w:tmpl w:val="73529F36"/>
    <w:lvl w:ilvl="0" w:tplc="E3FCC31A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2500">
    <w:abstractNumId w:val="2"/>
  </w:num>
  <w:num w:numId="2" w16cid:durableId="521625402">
    <w:abstractNumId w:val="1"/>
  </w:num>
  <w:num w:numId="3" w16cid:durableId="81448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5C"/>
    <w:rsid w:val="00022726"/>
    <w:rsid w:val="00027493"/>
    <w:rsid w:val="0007569C"/>
    <w:rsid w:val="001175BD"/>
    <w:rsid w:val="0017331A"/>
    <w:rsid w:val="001E1C62"/>
    <w:rsid w:val="00200660"/>
    <w:rsid w:val="00237EFC"/>
    <w:rsid w:val="00263A6B"/>
    <w:rsid w:val="002968F3"/>
    <w:rsid w:val="00370AC3"/>
    <w:rsid w:val="00386EF4"/>
    <w:rsid w:val="003D7955"/>
    <w:rsid w:val="004529A1"/>
    <w:rsid w:val="00462106"/>
    <w:rsid w:val="00492EB5"/>
    <w:rsid w:val="004B48F7"/>
    <w:rsid w:val="004B4F7B"/>
    <w:rsid w:val="00543726"/>
    <w:rsid w:val="005663CF"/>
    <w:rsid w:val="005913AF"/>
    <w:rsid w:val="005A6167"/>
    <w:rsid w:val="005B035C"/>
    <w:rsid w:val="005C113A"/>
    <w:rsid w:val="0062312E"/>
    <w:rsid w:val="006361AA"/>
    <w:rsid w:val="006A7095"/>
    <w:rsid w:val="007A2CEC"/>
    <w:rsid w:val="007B2D7D"/>
    <w:rsid w:val="007B4A3A"/>
    <w:rsid w:val="007B5766"/>
    <w:rsid w:val="007B693A"/>
    <w:rsid w:val="007E1E17"/>
    <w:rsid w:val="007E6DA2"/>
    <w:rsid w:val="007F2022"/>
    <w:rsid w:val="008450EF"/>
    <w:rsid w:val="00854860"/>
    <w:rsid w:val="0085793C"/>
    <w:rsid w:val="008752A9"/>
    <w:rsid w:val="008825A4"/>
    <w:rsid w:val="008910E7"/>
    <w:rsid w:val="008A2A39"/>
    <w:rsid w:val="008D467E"/>
    <w:rsid w:val="00900F98"/>
    <w:rsid w:val="00994100"/>
    <w:rsid w:val="009B213C"/>
    <w:rsid w:val="009D421C"/>
    <w:rsid w:val="009F0FE3"/>
    <w:rsid w:val="00A05307"/>
    <w:rsid w:val="00A12770"/>
    <w:rsid w:val="00A6570F"/>
    <w:rsid w:val="00A86693"/>
    <w:rsid w:val="00A9110B"/>
    <w:rsid w:val="00AC110E"/>
    <w:rsid w:val="00B62F6C"/>
    <w:rsid w:val="00B87982"/>
    <w:rsid w:val="00D44B2A"/>
    <w:rsid w:val="00D93D90"/>
    <w:rsid w:val="00D942C9"/>
    <w:rsid w:val="00D952D1"/>
    <w:rsid w:val="00DD1D7C"/>
    <w:rsid w:val="00E1485F"/>
    <w:rsid w:val="00E30DD0"/>
    <w:rsid w:val="00ED043E"/>
    <w:rsid w:val="00ED1CD3"/>
    <w:rsid w:val="00F13BF6"/>
    <w:rsid w:val="00F439E8"/>
    <w:rsid w:val="00F518AB"/>
    <w:rsid w:val="00F703F3"/>
    <w:rsid w:val="00F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D359"/>
  <w15:chartTrackingRefBased/>
  <w15:docId w15:val="{09B0CD40-F5CC-0549-8111-842D4586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03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A">
    <w:name w:val="Body A"/>
    <w:rsid w:val="005B03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86EF4"/>
    <w:rPr>
      <w:color w:val="0563C1" w:themeColor="hyperlink"/>
      <w:u w:val="single"/>
    </w:rPr>
  </w:style>
  <w:style w:type="character" w:customStyle="1" w:styleId="Mentionnonrsolue1">
    <w:name w:val="Mention non résolue1"/>
    <w:basedOn w:val="Carpredefinitoparagrafo"/>
    <w:uiPriority w:val="99"/>
    <w:semiHidden/>
    <w:unhideWhenUsed/>
    <w:rsid w:val="00386EF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875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8752A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2A9"/>
  </w:style>
  <w:style w:type="character" w:styleId="Numeropagina">
    <w:name w:val="page number"/>
    <w:basedOn w:val="Carpredefinitoparagrafo"/>
    <w:uiPriority w:val="99"/>
    <w:semiHidden/>
    <w:unhideWhenUsed/>
    <w:rsid w:val="008752A9"/>
  </w:style>
  <w:style w:type="paragraph" w:customStyle="1" w:styleId="Default">
    <w:name w:val="Default"/>
    <w:rsid w:val="008A2A3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glio@unio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906BEF-63D5-F14C-8762-120534F8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 Giglio</cp:lastModifiedBy>
  <cp:revision>6</cp:revision>
  <dcterms:created xsi:type="dcterms:W3CDTF">2024-02-24T11:26:00Z</dcterms:created>
  <dcterms:modified xsi:type="dcterms:W3CDTF">2024-02-24T11:33:00Z</dcterms:modified>
</cp:coreProperties>
</file>