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365f91"/>
          <w:sz w:val="40"/>
          <w:szCs w:val="40"/>
          <w:rtl w:val="0"/>
        </w:rPr>
        <w:t xml:space="preserve">Syllabus Attività Formativa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1400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1"/>
        <w:gridCol w:w="10663"/>
        <w:tblGridChange w:id="0">
          <w:tblGrid>
            <w:gridCol w:w="3341"/>
            <w:gridCol w:w="10663"/>
          </w:tblGrid>
        </w:tblGridChange>
      </w:tblGrid>
      <w:tr>
        <w:trPr>
          <w:cantSplit w:val="0"/>
          <w:trHeight w:val="300" w:hRule="atLeast"/>
          <w:tblHeader w:val="0"/>
        </w:trPr>
        <w:tc>
          <w:tcPr>
            <w:shd w:fill="f2f2f2" w:val="clear"/>
          </w:tcPr>
          <w:p w:rsidR="00000000" w:rsidDel="00000000" w:rsidP="00000000" w:rsidRDefault="00000000" w:rsidRPr="00000000" w14:paraId="00000003">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Anno Offerta</w:t>
            </w:r>
            <w:r w:rsidDel="00000000" w:rsidR="00000000" w:rsidRPr="00000000">
              <w:rPr>
                <w:rtl w:val="0"/>
              </w:rPr>
            </w:r>
          </w:p>
        </w:tc>
        <w:tc>
          <w:tcPr/>
          <w:p w:rsidR="00000000" w:rsidDel="00000000" w:rsidP="00000000" w:rsidRDefault="00000000" w:rsidRPr="00000000" w14:paraId="00000004">
            <w:pPr>
              <w:rPr>
                <w:rFonts w:ascii="Arial" w:cs="Arial" w:eastAsia="Arial" w:hAnsi="Arial"/>
                <w:color w:val="000000"/>
              </w:rPr>
            </w:pPr>
            <w:r w:rsidDel="00000000" w:rsidR="00000000" w:rsidRPr="00000000">
              <w:rPr>
                <w:rFonts w:ascii="Arial" w:cs="Arial" w:eastAsia="Arial" w:hAnsi="Arial"/>
                <w:color w:val="000000"/>
                <w:rtl w:val="0"/>
              </w:rPr>
              <w:t xml:space="preserve">2024</w:t>
            </w:r>
          </w:p>
        </w:tc>
      </w:tr>
      <w:tr>
        <w:trPr>
          <w:cantSplit w:val="0"/>
          <w:trHeight w:val="300" w:hRule="atLeast"/>
          <w:tblHeader w:val="0"/>
        </w:trPr>
        <w:tc>
          <w:tcPr>
            <w:shd w:fill="f2f2f2" w:val="clear"/>
          </w:tcPr>
          <w:p w:rsidR="00000000" w:rsidDel="00000000" w:rsidP="00000000" w:rsidRDefault="00000000" w:rsidRPr="00000000" w14:paraId="00000005">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Corso di Studio</w:t>
            </w:r>
            <w:r w:rsidDel="00000000" w:rsidR="00000000" w:rsidRPr="00000000">
              <w:rPr>
                <w:rtl w:val="0"/>
              </w:rPr>
            </w:r>
          </w:p>
        </w:tc>
        <w:tc>
          <w:tcPr/>
          <w:p w:rsidR="00000000" w:rsidDel="00000000" w:rsidP="00000000" w:rsidRDefault="00000000" w:rsidRPr="00000000" w14:paraId="00000006">
            <w:pPr>
              <w:rPr>
                <w:rFonts w:ascii="Arial" w:cs="Arial" w:eastAsia="Arial" w:hAnsi="Arial"/>
                <w:color w:val="000000"/>
              </w:rPr>
            </w:pPr>
            <w:r w:rsidDel="00000000" w:rsidR="00000000" w:rsidRPr="00000000">
              <w:rPr>
                <w:rFonts w:ascii="Arial" w:cs="Arial" w:eastAsia="Arial" w:hAnsi="Arial"/>
                <w:color w:val="000000"/>
                <w:rtl w:val="0"/>
              </w:rPr>
              <w:t xml:space="preserve">MEA - LINGUE E LETTERATURE EUROPEE E AMERICANE</w:t>
            </w:r>
          </w:p>
        </w:tc>
      </w:tr>
      <w:tr>
        <w:trPr>
          <w:cantSplit w:val="0"/>
          <w:trHeight w:val="300" w:hRule="atLeast"/>
          <w:tblHeader w:val="0"/>
        </w:trPr>
        <w:tc>
          <w:tcPr>
            <w:shd w:fill="f2f2f2" w:val="clear"/>
          </w:tcPr>
          <w:p w:rsidR="00000000" w:rsidDel="00000000" w:rsidP="00000000" w:rsidRDefault="00000000" w:rsidRPr="00000000" w14:paraId="00000007">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Regolamento Didattico</w:t>
            </w:r>
            <w:r w:rsidDel="00000000" w:rsidR="00000000" w:rsidRPr="00000000">
              <w:rPr>
                <w:rtl w:val="0"/>
              </w:rPr>
            </w:r>
          </w:p>
        </w:tc>
        <w:tc>
          <w:tcPr/>
          <w:p w:rsidR="00000000" w:rsidDel="00000000" w:rsidP="00000000" w:rsidRDefault="00000000" w:rsidRPr="00000000" w14:paraId="00000008">
            <w:pPr>
              <w:rPr>
                <w:rFonts w:ascii="Arial" w:cs="Arial" w:eastAsia="Arial" w:hAnsi="Arial"/>
                <w:color w:val="000000"/>
              </w:rPr>
            </w:pPr>
            <w:r w:rsidDel="00000000" w:rsidR="00000000" w:rsidRPr="00000000">
              <w:rPr>
                <w:rFonts w:ascii="Arial" w:cs="Arial" w:eastAsia="Arial" w:hAnsi="Arial"/>
                <w:color w:val="000000"/>
                <w:rtl w:val="0"/>
              </w:rPr>
              <w:t xml:space="preserve">MEA-20-24</w:t>
            </w:r>
          </w:p>
        </w:tc>
      </w:tr>
      <w:tr>
        <w:trPr>
          <w:cantSplit w:val="0"/>
          <w:trHeight w:val="300" w:hRule="atLeast"/>
          <w:tblHeader w:val="0"/>
        </w:trPr>
        <w:tc>
          <w:tcPr>
            <w:shd w:fill="f2f2f2" w:val="clear"/>
          </w:tcPr>
          <w:p w:rsidR="00000000" w:rsidDel="00000000" w:rsidP="00000000" w:rsidRDefault="00000000" w:rsidRPr="00000000" w14:paraId="00000009">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Percorso di Studio</w:t>
            </w:r>
            <w:r w:rsidDel="00000000" w:rsidR="00000000" w:rsidRPr="00000000">
              <w:rPr>
                <w:rtl w:val="0"/>
              </w:rPr>
            </w:r>
          </w:p>
        </w:tc>
        <w:tc>
          <w:tcPr/>
          <w:p w:rsidR="00000000" w:rsidDel="00000000" w:rsidP="00000000" w:rsidRDefault="00000000" w:rsidRPr="00000000" w14:paraId="0000000A">
            <w:pPr>
              <w:rPr>
                <w:rFonts w:ascii="Arial" w:cs="Arial" w:eastAsia="Arial" w:hAnsi="Arial"/>
                <w:color w:val="000000"/>
              </w:rPr>
            </w:pPr>
            <w:r w:rsidDel="00000000" w:rsidR="00000000" w:rsidRPr="00000000">
              <w:rPr>
                <w:rFonts w:ascii="Arial" w:cs="Arial" w:eastAsia="Arial" w:hAnsi="Arial"/>
                <w:color w:val="000000"/>
                <w:rtl w:val="0"/>
              </w:rPr>
              <w:t xml:space="preserve">MEA/10 - ABILITA</w:t>
            </w:r>
            <w:r w:rsidDel="00000000" w:rsidR="00000000" w:rsidRPr="00000000">
              <w:rPr>
                <w:rFonts w:ascii="Arial" w:cs="Arial" w:eastAsia="Arial" w:hAnsi="Arial"/>
                <w:rtl w:val="0"/>
              </w:rPr>
              <w:t xml:space="preserve">’ INFORMATICHE - LABORATORIO DI DIGITAL HUMANITIES</w:t>
            </w:r>
            <w:r w:rsidDel="00000000" w:rsidR="00000000" w:rsidRPr="00000000">
              <w:rPr>
                <w:rtl w:val="0"/>
              </w:rPr>
            </w:r>
          </w:p>
        </w:tc>
      </w:tr>
      <w:tr>
        <w:trPr>
          <w:cantSplit w:val="0"/>
          <w:trHeight w:val="600" w:hRule="atLeast"/>
          <w:tblHeader w:val="0"/>
        </w:trPr>
        <w:tc>
          <w:tcPr>
            <w:shd w:fill="f2f2f2" w:val="clear"/>
          </w:tcPr>
          <w:p w:rsidR="00000000" w:rsidDel="00000000" w:rsidP="00000000" w:rsidRDefault="00000000" w:rsidRPr="00000000" w14:paraId="0000000B">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Insegnamento/Modulo</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00"/>
              </w:rPr>
            </w:pPr>
            <w:r w:rsidDel="00000000" w:rsidR="00000000" w:rsidRPr="00000000">
              <w:rPr>
                <w:rFonts w:ascii="Arial" w:cs="Arial" w:eastAsia="Arial" w:hAnsi="Arial"/>
                <w:color w:val="000000"/>
                <w:rtl w:val="0"/>
              </w:rPr>
              <w:t xml:space="preserve">2/0107 - ANALISI DEL TESTO E TRADUZIONE LETTERARIA (INGLESE) I - TEXT ANALYSIS AND LITERARY TRANSLATION (ENGLISH) I</w:t>
            </w:r>
          </w:p>
        </w:tc>
      </w:tr>
      <w:tr>
        <w:trPr>
          <w:cantSplit w:val="0"/>
          <w:trHeight w:val="600" w:hRule="atLeast"/>
          <w:tblHeader w:val="0"/>
        </w:trPr>
        <w:tc>
          <w:tcPr>
            <w:shd w:fill="f2f2f2" w:val="clear"/>
          </w:tcPr>
          <w:p w:rsidR="00000000" w:rsidDel="00000000" w:rsidP="00000000" w:rsidRDefault="00000000" w:rsidRPr="00000000" w14:paraId="0000000D">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Attività Formativa Integrata</w:t>
            </w:r>
            <w:r w:rsidDel="00000000" w:rsidR="00000000" w:rsidRPr="00000000">
              <w:rPr>
                <w:rtl w:val="0"/>
              </w:rPr>
            </w:r>
          </w:p>
        </w:tc>
        <w:tc>
          <w:tcPr/>
          <w:p w:rsidR="00000000" w:rsidDel="00000000" w:rsidP="00000000" w:rsidRDefault="00000000" w:rsidRPr="00000000" w14:paraId="0000000E">
            <w:pPr>
              <w:rPr>
                <w:rFonts w:ascii="Arial" w:cs="Arial" w:eastAsia="Arial" w:hAnsi="Arial"/>
                <w:color w:val="000000"/>
              </w:rPr>
            </w:pPr>
            <w:r w:rsidDel="00000000" w:rsidR="00000000" w:rsidRPr="00000000">
              <w:rPr>
                <w:rFonts w:ascii="Arial" w:cs="Arial" w:eastAsia="Arial" w:hAnsi="Arial"/>
                <w:color w:val="000000"/>
                <w:rtl w:val="0"/>
              </w:rPr>
              <w:t xml:space="preserve"> - </w:t>
            </w:r>
          </w:p>
        </w:tc>
      </w:tr>
      <w:tr>
        <w:trPr>
          <w:cantSplit w:val="0"/>
          <w:trHeight w:val="505.92529296875006" w:hRule="atLeast"/>
          <w:tblHeader w:val="0"/>
        </w:trPr>
        <w:tc>
          <w:tcPr>
            <w:shd w:fill="f2f2f2" w:val="clear"/>
          </w:tcPr>
          <w:p w:rsidR="00000000" w:rsidDel="00000000" w:rsidP="00000000" w:rsidRDefault="00000000" w:rsidRPr="00000000" w14:paraId="0000000F">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Partizione Studenti</w:t>
            </w:r>
            <w:r w:rsidDel="00000000" w:rsidR="00000000" w:rsidRPr="00000000">
              <w:rPr>
                <w:rtl w:val="0"/>
              </w:rPr>
            </w:r>
          </w:p>
        </w:tc>
        <w:tc>
          <w:tcPr/>
          <w:p w:rsidR="00000000" w:rsidDel="00000000" w:rsidP="00000000" w:rsidRDefault="00000000" w:rsidRPr="00000000" w14:paraId="00000010">
            <w:pPr>
              <w:rPr>
                <w:rFonts w:ascii="Arial" w:cs="Arial" w:eastAsia="Arial" w:hAnsi="Arial"/>
                <w:color w:val="000000"/>
              </w:rPr>
            </w:pPr>
            <w:r w:rsidDel="00000000" w:rsidR="00000000" w:rsidRPr="00000000">
              <w:rPr>
                <w:rFonts w:ascii="Arial" w:cs="Arial" w:eastAsia="Arial" w:hAnsi="Arial"/>
                <w:color w:val="000000"/>
                <w:rtl w:val="0"/>
              </w:rPr>
              <w:t xml:space="preserve"> - </w:t>
            </w:r>
          </w:p>
        </w:tc>
      </w:tr>
      <w:tr>
        <w:trPr>
          <w:cantSplit w:val="0"/>
          <w:trHeight w:val="300" w:hRule="atLeast"/>
          <w:tblHeader w:val="0"/>
        </w:trPr>
        <w:tc>
          <w:tcPr>
            <w:shd w:fill="f2f2f2" w:val="clear"/>
          </w:tcPr>
          <w:p w:rsidR="00000000" w:rsidDel="00000000" w:rsidP="00000000" w:rsidRDefault="00000000" w:rsidRPr="00000000" w14:paraId="00000011">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Periodo Didattico</w:t>
            </w:r>
            <w:r w:rsidDel="00000000" w:rsidR="00000000" w:rsidRPr="00000000">
              <w:rPr>
                <w:rtl w:val="0"/>
              </w:rPr>
            </w:r>
          </w:p>
        </w:tc>
        <w:tc>
          <w:tcPr/>
          <w:p w:rsidR="00000000" w:rsidDel="00000000" w:rsidP="00000000" w:rsidRDefault="00000000" w:rsidRPr="00000000" w14:paraId="00000012">
            <w:pPr>
              <w:rPr>
                <w:rFonts w:ascii="Arial" w:cs="Arial" w:eastAsia="Arial" w:hAnsi="Arial"/>
                <w:color w:val="000000"/>
              </w:rPr>
            </w:pPr>
            <w:r w:rsidDel="00000000" w:rsidR="00000000" w:rsidRPr="00000000">
              <w:rPr>
                <w:rFonts w:ascii="Arial" w:cs="Arial" w:eastAsia="Arial" w:hAnsi="Arial"/>
                <w:color w:val="000000"/>
                <w:rtl w:val="0"/>
              </w:rPr>
              <w:t xml:space="preserve">S2 - Secondo Semestre</w:t>
            </w:r>
          </w:p>
        </w:tc>
      </w:tr>
      <w:tr>
        <w:trPr>
          <w:cantSplit w:val="0"/>
          <w:trHeight w:val="300" w:hRule="atLeast"/>
          <w:tblHeader w:val="0"/>
        </w:trPr>
        <w:tc>
          <w:tcPr>
            <w:shd w:fill="f2f2f2" w:val="clear"/>
          </w:tcPr>
          <w:p w:rsidR="00000000" w:rsidDel="00000000" w:rsidP="00000000" w:rsidRDefault="00000000" w:rsidRPr="00000000" w14:paraId="00000013">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Sede</w:t>
            </w:r>
            <w:r w:rsidDel="00000000" w:rsidR="00000000" w:rsidRPr="00000000">
              <w:rPr>
                <w:rtl w:val="0"/>
              </w:rPr>
            </w:r>
          </w:p>
        </w:tc>
        <w:tc>
          <w:tcPr/>
          <w:p w:rsidR="00000000" w:rsidDel="00000000" w:rsidP="00000000" w:rsidRDefault="00000000" w:rsidRPr="00000000" w14:paraId="00000014">
            <w:pPr>
              <w:rPr>
                <w:rFonts w:ascii="Arial" w:cs="Arial" w:eastAsia="Arial" w:hAnsi="Arial"/>
                <w:color w:val="000000"/>
              </w:rPr>
            </w:pPr>
            <w:r w:rsidDel="00000000" w:rsidR="00000000" w:rsidRPr="00000000">
              <w:rPr>
                <w:rtl w:val="0"/>
              </w:rPr>
            </w:r>
          </w:p>
        </w:tc>
      </w:tr>
      <w:tr>
        <w:trPr>
          <w:cantSplit w:val="0"/>
          <w:trHeight w:val="300" w:hRule="atLeast"/>
          <w:tblHeader w:val="0"/>
        </w:trPr>
        <w:tc>
          <w:tcPr>
            <w:shd w:fill="f2f2f2" w:val="clear"/>
          </w:tcPr>
          <w:p w:rsidR="00000000" w:rsidDel="00000000" w:rsidP="00000000" w:rsidRDefault="00000000" w:rsidRPr="00000000" w14:paraId="00000015">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Anno Corso</w:t>
            </w:r>
            <w:r w:rsidDel="00000000" w:rsidR="00000000" w:rsidRPr="00000000">
              <w:rPr>
                <w:rtl w:val="0"/>
              </w:rPr>
            </w:r>
          </w:p>
        </w:tc>
        <w:tc>
          <w:tcPr/>
          <w:p w:rsidR="00000000" w:rsidDel="00000000" w:rsidP="00000000" w:rsidRDefault="00000000" w:rsidRPr="00000000" w14:paraId="00000016">
            <w:pPr>
              <w:rPr>
                <w:rFonts w:ascii="Arial" w:cs="Arial" w:eastAsia="Arial" w:hAnsi="Arial"/>
                <w:color w:val="000000"/>
              </w:rPr>
            </w:pPr>
            <w:r w:rsidDel="00000000" w:rsidR="00000000" w:rsidRPr="00000000">
              <w:rPr>
                <w:rFonts w:ascii="Arial" w:cs="Arial" w:eastAsia="Arial" w:hAnsi="Arial"/>
                <w:color w:val="000000"/>
                <w:rtl w:val="0"/>
              </w:rPr>
              <w:t xml:space="preserve">1</w:t>
            </w:r>
          </w:p>
        </w:tc>
      </w:tr>
      <w:tr>
        <w:trPr>
          <w:cantSplit w:val="0"/>
          <w:trHeight w:val="300" w:hRule="atLeast"/>
          <w:tblHeader w:val="0"/>
        </w:trPr>
        <w:tc>
          <w:tcPr>
            <w:shd w:fill="f2f2f2" w:val="clear"/>
          </w:tcPr>
          <w:p w:rsidR="00000000" w:rsidDel="00000000" w:rsidP="00000000" w:rsidRDefault="00000000" w:rsidRPr="00000000" w14:paraId="00000017">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Settore</w:t>
            </w:r>
            <w:r w:rsidDel="00000000" w:rsidR="00000000" w:rsidRPr="00000000">
              <w:rPr>
                <w:rtl w:val="0"/>
              </w:rPr>
            </w:r>
          </w:p>
        </w:tc>
        <w:tc>
          <w:tcPr/>
          <w:p w:rsidR="00000000" w:rsidDel="00000000" w:rsidP="00000000" w:rsidRDefault="00000000" w:rsidRPr="00000000" w14:paraId="00000018">
            <w:pPr>
              <w:rPr>
                <w:rFonts w:ascii="Arial" w:cs="Arial" w:eastAsia="Arial" w:hAnsi="Arial"/>
                <w:color w:val="000000"/>
              </w:rPr>
            </w:pPr>
            <w:r w:rsidDel="00000000" w:rsidR="00000000" w:rsidRPr="00000000">
              <w:rPr>
                <w:rFonts w:ascii="Arial" w:cs="Arial" w:eastAsia="Arial" w:hAnsi="Arial"/>
                <w:color w:val="000000"/>
                <w:rtl w:val="0"/>
              </w:rPr>
              <w:t xml:space="preserve">L-LIN/10 - LETTERATURA INGLESE</w:t>
            </w:r>
          </w:p>
        </w:tc>
      </w:tr>
      <w:tr>
        <w:trPr>
          <w:cantSplit w:val="0"/>
          <w:trHeight w:val="300" w:hRule="atLeast"/>
          <w:tblHeader w:val="0"/>
        </w:trPr>
        <w:tc>
          <w:tcPr>
            <w:shd w:fill="f2f2f2" w:val="clear"/>
          </w:tcPr>
          <w:p w:rsidR="00000000" w:rsidDel="00000000" w:rsidP="00000000" w:rsidRDefault="00000000" w:rsidRPr="00000000" w14:paraId="00000019">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Tipo attività Formativa</w:t>
            </w:r>
            <w:r w:rsidDel="00000000" w:rsidR="00000000" w:rsidRPr="00000000">
              <w:rPr>
                <w:rtl w:val="0"/>
              </w:rPr>
            </w:r>
          </w:p>
        </w:tc>
        <w:tc>
          <w:tcPr/>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rtl w:val="0"/>
              </w:rPr>
              <w:t xml:space="preserve">B - Caratterizzante</w:t>
            </w:r>
          </w:p>
        </w:tc>
      </w:tr>
      <w:tr>
        <w:trPr>
          <w:cantSplit w:val="0"/>
          <w:trHeight w:val="300" w:hRule="atLeast"/>
          <w:tblHeader w:val="0"/>
        </w:trPr>
        <w:tc>
          <w:tcPr>
            <w:shd w:fill="f2f2f2" w:val="clear"/>
          </w:tcPr>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Ambito</w:t>
            </w:r>
            <w:r w:rsidDel="00000000" w:rsidR="00000000" w:rsidRPr="00000000">
              <w:rPr>
                <w:rtl w:val="0"/>
              </w:rPr>
            </w:r>
          </w:p>
        </w:tc>
        <w:tc>
          <w:tcPr/>
          <w:p w:rsidR="00000000" w:rsidDel="00000000" w:rsidP="00000000" w:rsidRDefault="00000000" w:rsidRPr="00000000" w14:paraId="0000001C">
            <w:pPr>
              <w:rPr>
                <w:rFonts w:ascii="Arial" w:cs="Arial" w:eastAsia="Arial" w:hAnsi="Arial"/>
                <w:color w:val="000000"/>
              </w:rPr>
            </w:pPr>
            <w:r w:rsidDel="00000000" w:rsidR="00000000" w:rsidRPr="00000000">
              <w:rPr>
                <w:rFonts w:ascii="Arial" w:cs="Arial" w:eastAsia="Arial" w:hAnsi="Arial"/>
                <w:color w:val="000000"/>
                <w:rtl w:val="0"/>
              </w:rPr>
              <w:t xml:space="preserve">50381 - Lingue e Letterature moderne</w:t>
            </w:r>
          </w:p>
        </w:tc>
      </w:tr>
      <w:tr>
        <w:trPr>
          <w:cantSplit w:val="0"/>
          <w:trHeight w:val="300" w:hRule="atLeast"/>
          <w:tblHeader w:val="0"/>
        </w:trPr>
        <w:tc>
          <w:tcPr>
            <w:shd w:fill="f2f2f2" w:val="clear"/>
          </w:tcPr>
          <w:p w:rsidR="00000000" w:rsidDel="00000000" w:rsidP="00000000" w:rsidRDefault="00000000" w:rsidRPr="00000000" w14:paraId="0000001D">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CFU</w:t>
            </w:r>
            <w:r w:rsidDel="00000000" w:rsidR="00000000" w:rsidRPr="00000000">
              <w:rPr>
                <w:rtl w:val="0"/>
              </w:rPr>
            </w:r>
          </w:p>
        </w:tc>
        <w:tc>
          <w:tcPr/>
          <w:p w:rsidR="00000000" w:rsidDel="00000000" w:rsidP="00000000" w:rsidRDefault="00000000" w:rsidRPr="00000000" w14:paraId="0000001E">
            <w:pPr>
              <w:rPr>
                <w:rFonts w:ascii="Arial" w:cs="Arial" w:eastAsia="Arial" w:hAnsi="Arial"/>
                <w:color w:val="000000"/>
              </w:rPr>
            </w:pPr>
            <w:r w:rsidDel="00000000" w:rsidR="00000000" w:rsidRPr="00000000">
              <w:rPr>
                <w:rFonts w:ascii="Arial" w:cs="Arial" w:eastAsia="Arial" w:hAnsi="Arial"/>
                <w:color w:val="000000"/>
                <w:rtl w:val="0"/>
              </w:rPr>
              <w:t xml:space="preserve">8.0</w:t>
            </w:r>
          </w:p>
        </w:tc>
      </w:tr>
      <w:tr>
        <w:trPr>
          <w:cantSplit w:val="0"/>
          <w:trHeight w:val="300" w:hRule="atLeast"/>
          <w:tblHeader w:val="0"/>
        </w:trPr>
        <w:tc>
          <w:tcPr>
            <w:shd w:fill="f2f2f2" w:val="clear"/>
          </w:tcPr>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Ore Attività Frontali</w:t>
            </w:r>
            <w:r w:rsidDel="00000000" w:rsidR="00000000" w:rsidRPr="00000000">
              <w:rPr>
                <w:rtl w:val="0"/>
              </w:rPr>
            </w:r>
          </w:p>
        </w:tc>
        <w:tc>
          <w:tcPr/>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48.0</w:t>
            </w:r>
          </w:p>
        </w:tc>
      </w:tr>
      <w:tr>
        <w:trPr>
          <w:cantSplit w:val="0"/>
          <w:trHeight w:val="300" w:hRule="atLeast"/>
          <w:tblHeader w:val="0"/>
        </w:trPr>
        <w:tc>
          <w:tcPr>
            <w:shd w:fill="f2f2f2" w:val="clear"/>
          </w:tcPr>
          <w:p w:rsidR="00000000" w:rsidDel="00000000" w:rsidP="00000000" w:rsidRDefault="00000000" w:rsidRPr="00000000" w14:paraId="00000021">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AF_ID</w:t>
            </w:r>
            <w:r w:rsidDel="00000000" w:rsidR="00000000" w:rsidRPr="00000000">
              <w:rPr>
                <w:rtl w:val="0"/>
              </w:rPr>
            </w:r>
          </w:p>
        </w:tc>
        <w:tc>
          <w:tcPr/>
          <w:p w:rsidR="00000000" w:rsidDel="00000000" w:rsidP="00000000" w:rsidRDefault="00000000" w:rsidRPr="00000000" w14:paraId="00000022">
            <w:pPr>
              <w:rPr>
                <w:rFonts w:ascii="Arial" w:cs="Arial" w:eastAsia="Arial" w:hAnsi="Arial"/>
                <w:color w:val="000000"/>
              </w:rPr>
            </w:pPr>
            <w:r w:rsidDel="00000000" w:rsidR="00000000" w:rsidRPr="00000000">
              <w:rPr>
                <w:rFonts w:ascii="Arial" w:cs="Arial" w:eastAsia="Arial" w:hAnsi="Arial"/>
                <w:color w:val="000000"/>
                <w:rtl w:val="0"/>
              </w:rPr>
              <w:t xml:space="preserve">112107</w:t>
            </w:r>
          </w:p>
        </w:tc>
      </w:tr>
    </w:tbl>
    <w:p w:rsidR="00000000" w:rsidDel="00000000" w:rsidP="00000000" w:rsidRDefault="00000000" w:rsidRPr="00000000" w14:paraId="00000023">
      <w:pPr>
        <w:rPr/>
      </w:pPr>
      <w:r w:rsidDel="00000000" w:rsidR="00000000" w:rsidRPr="00000000">
        <w:rPr>
          <w:rtl w:val="0"/>
        </w:rPr>
      </w:r>
    </w:p>
    <w:tbl>
      <w:tblPr>
        <w:tblStyle w:val="Table2"/>
        <w:tblW w:w="1400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9"/>
        <w:gridCol w:w="1840"/>
        <w:gridCol w:w="1248"/>
        <w:gridCol w:w="533"/>
        <w:gridCol w:w="4348"/>
        <w:gridCol w:w="4336"/>
        <w:tblGridChange w:id="0">
          <w:tblGrid>
            <w:gridCol w:w="1699"/>
            <w:gridCol w:w="1840"/>
            <w:gridCol w:w="1248"/>
            <w:gridCol w:w="533"/>
            <w:gridCol w:w="4348"/>
            <w:gridCol w:w="4336"/>
          </w:tblGrid>
        </w:tblGridChange>
      </w:tblGrid>
      <w:tr>
        <w:trPr>
          <w:cantSplit w:val="0"/>
          <w:tblHeader w:val="0"/>
        </w:trPr>
        <w:tc>
          <w:tcPr>
            <w:shd w:fill="f2f2f2" w:val="clear"/>
          </w:tcPr>
          <w:p w:rsidR="00000000" w:rsidDel="00000000" w:rsidP="00000000" w:rsidRDefault="00000000" w:rsidRPr="00000000" w14:paraId="00000024">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Tipo Testo</w:t>
            </w:r>
            <w:r w:rsidDel="00000000" w:rsidR="00000000" w:rsidRPr="00000000">
              <w:rPr>
                <w:rtl w:val="0"/>
              </w:rPr>
            </w:r>
          </w:p>
        </w:tc>
        <w:tc>
          <w:tcPr>
            <w:shd w:fill="f2f2f2" w:val="clear"/>
          </w:tcPr>
          <w:p w:rsidR="00000000" w:rsidDel="00000000" w:rsidP="00000000" w:rsidRDefault="00000000" w:rsidRPr="00000000" w14:paraId="00000025">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Codice Tipo Testo</w:t>
            </w:r>
            <w:r w:rsidDel="00000000" w:rsidR="00000000" w:rsidRPr="00000000">
              <w:rPr>
                <w:rtl w:val="0"/>
              </w:rPr>
            </w:r>
          </w:p>
        </w:tc>
        <w:tc>
          <w:tcPr>
            <w:shd w:fill="f2f2f2" w:val="clear"/>
          </w:tcPr>
          <w:p w:rsidR="00000000" w:rsidDel="00000000" w:rsidP="00000000" w:rsidRDefault="00000000" w:rsidRPr="00000000" w14:paraId="00000026">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Num. Max. Caratteri</w:t>
            </w:r>
            <w:r w:rsidDel="00000000" w:rsidR="00000000" w:rsidRPr="00000000">
              <w:rPr>
                <w:rtl w:val="0"/>
              </w:rPr>
            </w:r>
          </w:p>
        </w:tc>
        <w:tc>
          <w:tcPr>
            <w:shd w:fill="f2f2f2" w:val="clear"/>
          </w:tcPr>
          <w:p w:rsidR="00000000" w:rsidDel="00000000" w:rsidP="00000000" w:rsidRDefault="00000000" w:rsidRPr="00000000" w14:paraId="00000027">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Obbl.</w:t>
            </w:r>
            <w:r w:rsidDel="00000000" w:rsidR="00000000" w:rsidRPr="00000000">
              <w:rPr>
                <w:rtl w:val="0"/>
              </w:rPr>
            </w:r>
          </w:p>
        </w:tc>
        <w:tc>
          <w:tcPr>
            <w:shd w:fill="f2f2f2" w:val="clear"/>
          </w:tcPr>
          <w:p w:rsidR="00000000" w:rsidDel="00000000" w:rsidP="00000000" w:rsidRDefault="00000000" w:rsidRPr="00000000" w14:paraId="00000028">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Testo in Italiano</w:t>
            </w:r>
            <w:r w:rsidDel="00000000" w:rsidR="00000000" w:rsidRPr="00000000">
              <w:rPr>
                <w:rtl w:val="0"/>
              </w:rPr>
            </w:r>
          </w:p>
        </w:tc>
        <w:tc>
          <w:tcPr>
            <w:shd w:fill="f2f2f2" w:val="clear"/>
          </w:tcPr>
          <w:p w:rsidR="00000000" w:rsidDel="00000000" w:rsidP="00000000" w:rsidRDefault="00000000" w:rsidRPr="00000000" w14:paraId="00000029">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Testo in Inglese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A">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Lingua insegnamento</w:t>
            </w:r>
            <w:r w:rsidDel="00000000" w:rsidR="00000000" w:rsidRPr="00000000">
              <w:rPr>
                <w:rtl w:val="0"/>
              </w:rPr>
            </w:r>
          </w:p>
        </w:tc>
        <w:tc>
          <w:tcPr/>
          <w:p w:rsidR="00000000" w:rsidDel="00000000" w:rsidP="00000000" w:rsidRDefault="00000000" w:rsidRPr="00000000" w14:paraId="0000002B">
            <w:pPr>
              <w:rPr>
                <w:rFonts w:ascii="Arial" w:cs="Arial" w:eastAsia="Arial" w:hAnsi="Arial"/>
                <w:color w:val="000000"/>
              </w:rPr>
            </w:pPr>
            <w:r w:rsidDel="00000000" w:rsidR="00000000" w:rsidRPr="00000000">
              <w:rPr>
                <w:rFonts w:ascii="Arial" w:cs="Arial" w:eastAsia="Arial" w:hAnsi="Arial"/>
                <w:color w:val="000000"/>
                <w:rtl w:val="0"/>
              </w:rPr>
              <w:t xml:space="preserve">LINGUA_INS</w:t>
            </w:r>
          </w:p>
        </w:tc>
        <w:tc>
          <w:tcPr/>
          <w:p w:rsidR="00000000" w:rsidDel="00000000" w:rsidP="00000000" w:rsidRDefault="00000000" w:rsidRPr="00000000" w14:paraId="0000002C">
            <w:pPr>
              <w:rPr>
                <w:rFonts w:ascii="Arial" w:cs="Arial" w:eastAsia="Arial" w:hAnsi="Arial"/>
                <w:color w:val="000000"/>
              </w:rPr>
            </w:pPr>
            <w:r w:rsidDel="00000000" w:rsidR="00000000" w:rsidRPr="00000000">
              <w:rPr>
                <w:rFonts w:ascii="Arial" w:cs="Arial" w:eastAsia="Arial" w:hAnsi="Arial"/>
                <w:color w:val="000000"/>
                <w:rtl w:val="0"/>
              </w:rPr>
              <w:t xml:space="preserve">100</w:t>
            </w:r>
          </w:p>
        </w:tc>
        <w:tc>
          <w:tcPr/>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2E">
            <w:pPr>
              <w:rPr/>
            </w:pPr>
            <w:r w:rsidDel="00000000" w:rsidR="00000000" w:rsidRPr="00000000">
              <w:rPr>
                <w:rtl w:val="0"/>
              </w:rPr>
              <w:t xml:space="preserve">INGLESE</w:t>
            </w:r>
          </w:p>
        </w:tc>
        <w:tc>
          <w:tcPr/>
          <w:p w:rsidR="00000000" w:rsidDel="00000000" w:rsidP="00000000" w:rsidRDefault="00000000" w:rsidRPr="00000000" w14:paraId="0000002F">
            <w:pPr>
              <w:rPr/>
            </w:pPr>
            <w:r w:rsidDel="00000000" w:rsidR="00000000" w:rsidRPr="00000000">
              <w:rPr>
                <w:rtl w:val="0"/>
              </w:rPr>
              <w:t xml:space="preserve">ENGLISH</w:t>
            </w:r>
          </w:p>
        </w:tc>
      </w:tr>
      <w:tr>
        <w:trPr>
          <w:cantSplit w:val="0"/>
          <w:tblHeader w:val="0"/>
        </w:trPr>
        <w:tc>
          <w:tcPr>
            <w:shd w:fill="f2f2f2" w:val="clear"/>
          </w:tcPr>
          <w:p w:rsidR="00000000" w:rsidDel="00000000" w:rsidP="00000000" w:rsidRDefault="00000000" w:rsidRPr="00000000" w14:paraId="00000030">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Contenuti</w:t>
            </w:r>
            <w:r w:rsidDel="00000000" w:rsidR="00000000" w:rsidRPr="00000000">
              <w:rPr>
                <w:rtl w:val="0"/>
              </w:rPr>
            </w:r>
          </w:p>
        </w:tc>
        <w:tc>
          <w:tcPr/>
          <w:p w:rsidR="00000000" w:rsidDel="00000000" w:rsidP="00000000" w:rsidRDefault="00000000" w:rsidRPr="00000000" w14:paraId="00000031">
            <w:pPr>
              <w:rPr>
                <w:rFonts w:ascii="Arial" w:cs="Arial" w:eastAsia="Arial" w:hAnsi="Arial"/>
                <w:color w:val="000000"/>
              </w:rPr>
            </w:pPr>
            <w:r w:rsidDel="00000000" w:rsidR="00000000" w:rsidRPr="00000000">
              <w:rPr>
                <w:rFonts w:ascii="Arial" w:cs="Arial" w:eastAsia="Arial" w:hAnsi="Arial"/>
                <w:color w:val="000000"/>
                <w:rtl w:val="0"/>
              </w:rPr>
              <w:t xml:space="preserve">CONTENUTI</w:t>
            </w:r>
          </w:p>
        </w:tc>
        <w:tc>
          <w:tcPr/>
          <w:p w:rsidR="00000000" w:rsidDel="00000000" w:rsidP="00000000" w:rsidRDefault="00000000" w:rsidRPr="00000000" w14:paraId="00000032">
            <w:pPr>
              <w:rPr>
                <w:rFonts w:ascii="Arial" w:cs="Arial" w:eastAsia="Arial" w:hAnsi="Arial"/>
                <w:color w:val="000000"/>
              </w:rPr>
            </w:pPr>
            <w:r w:rsidDel="00000000" w:rsidR="00000000" w:rsidRPr="00000000">
              <w:rPr>
                <w:rFonts w:ascii="Arial" w:cs="Arial" w:eastAsia="Arial" w:hAnsi="Arial"/>
                <w:color w:val="000000"/>
                <w:rtl w:val="0"/>
              </w:rPr>
              <w:t xml:space="preserve">6000</w:t>
            </w:r>
          </w:p>
        </w:tc>
        <w:tc>
          <w:tcPr/>
          <w:p w:rsidR="00000000" w:rsidDel="00000000" w:rsidP="00000000" w:rsidRDefault="00000000" w:rsidRPr="00000000" w14:paraId="00000033">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34">
            <w:pPr>
              <w:rPr/>
            </w:pPr>
            <w:r w:rsidDel="00000000" w:rsidR="00000000" w:rsidRPr="00000000">
              <w:rPr>
                <w:rtl w:val="0"/>
              </w:rPr>
              <w:t xml:space="preserve">Il laboratorio è progettato per dotare gli studenti delle competenze fondamentali necessarie per navigare e sfruttare efficacemente gli strumenti di intelligenza artificiale (IA). L'obiettivo primario è mostrare come queste tecnologie possano essere applicate in modo pratico e innovativo al campo della traduzione, sia essa letteraria, tecnica o specialistica.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Gli studenti impareranno non solo a utilizzare interfacce e software basati sull'IA, ma anche a comprendere i principi sottostanti che ne regolano il funzionamento. Ci si concentrerà sull'acquisizione di un mindset critico che permetta di valutare l'affidabilità e i limiti dell'IA nella traduzione, promuovendo al contempo un approccio proattivo alla risoluzione di problematiche complesse. Verranno esplorate le diverse sfaccettature dell'IA applicata alla traduzione, dall'uso di motori di traduzione neurale avanzati alla personalizzazione di modelli e all'integrazione di strumenti per l'analisi testuale e la gestione terminologica.</w:t>
            </w:r>
          </w:p>
        </w:tc>
        <w:tc>
          <w:tcPr/>
          <w:p w:rsidR="00000000" w:rsidDel="00000000" w:rsidP="00000000" w:rsidRDefault="00000000" w:rsidRPr="00000000" w14:paraId="00000037">
            <w:pPr>
              <w:spacing w:after="240" w:before="240" w:lineRule="auto"/>
              <w:rPr/>
            </w:pPr>
            <w:r w:rsidDel="00000000" w:rsidR="00000000" w:rsidRPr="00000000">
              <w:rPr>
                <w:rtl w:val="0"/>
              </w:rPr>
              <w:t xml:space="preserve">The workshop is designed to equip students with the fundamental skills necessary to navigate and effectively utilise artificial intelligence (AI) tools. The primary objective is to demonstrate how these technologies can be applied in practical and innovative ways to the field of translation, whether literary, technical or specialised.</w:t>
            </w:r>
          </w:p>
          <w:p w:rsidR="00000000" w:rsidDel="00000000" w:rsidP="00000000" w:rsidRDefault="00000000" w:rsidRPr="00000000" w14:paraId="00000038">
            <w:pPr>
              <w:spacing w:after="240" w:before="240" w:lineRule="auto"/>
              <w:rPr/>
            </w:pPr>
            <w:r w:rsidDel="00000000" w:rsidR="00000000" w:rsidRPr="00000000">
              <w:rPr>
                <w:rtl w:val="0"/>
              </w:rPr>
              <w:t xml:space="preserve"> Students will learn not only how to use AI-based interfaces and software, but also how to understand the underlying principles that govern their operation. The focus will be on acquiring a critical mindset that allows students to evaluate the reliability and limitations of AI in translation, while promoting a proactive approach to solving complex problems. The different facets of AI applied to translation will be explored, from the use of advanced neural translation engines to the customisation of models and the integration of tools for text analysis and terminology management.</w:t>
            </w:r>
          </w:p>
          <w:p w:rsidR="00000000" w:rsidDel="00000000" w:rsidP="00000000" w:rsidRDefault="00000000" w:rsidRPr="00000000" w14:paraId="00000039">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A">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Testi di riferimento</w:t>
            </w:r>
            <w:r w:rsidDel="00000000" w:rsidR="00000000" w:rsidRPr="00000000">
              <w:rPr>
                <w:rtl w:val="0"/>
              </w:rPr>
            </w:r>
          </w:p>
        </w:tc>
        <w:tc>
          <w:tcPr/>
          <w:p w:rsidR="00000000" w:rsidDel="00000000" w:rsidP="00000000" w:rsidRDefault="00000000" w:rsidRPr="00000000" w14:paraId="0000003B">
            <w:pPr>
              <w:rPr>
                <w:rFonts w:ascii="Arial" w:cs="Arial" w:eastAsia="Arial" w:hAnsi="Arial"/>
                <w:color w:val="000000"/>
              </w:rPr>
            </w:pPr>
            <w:r w:rsidDel="00000000" w:rsidR="00000000" w:rsidRPr="00000000">
              <w:rPr>
                <w:rFonts w:ascii="Arial" w:cs="Arial" w:eastAsia="Arial" w:hAnsi="Arial"/>
                <w:color w:val="000000"/>
                <w:rtl w:val="0"/>
              </w:rPr>
              <w:t xml:space="preserve">TESTI_RIF</w:t>
            </w:r>
          </w:p>
        </w:tc>
        <w:tc>
          <w:tcPr/>
          <w:p w:rsidR="00000000" w:rsidDel="00000000" w:rsidP="00000000" w:rsidRDefault="00000000" w:rsidRPr="00000000" w14:paraId="0000003C">
            <w:pPr>
              <w:rPr>
                <w:rFonts w:ascii="Arial" w:cs="Arial" w:eastAsia="Arial" w:hAnsi="Arial"/>
                <w:color w:val="000000"/>
              </w:rPr>
            </w:pPr>
            <w:r w:rsidDel="00000000" w:rsidR="00000000" w:rsidRPr="00000000">
              <w:rPr>
                <w:rFonts w:ascii="Arial" w:cs="Arial" w:eastAsia="Arial" w:hAnsi="Arial"/>
                <w:color w:val="000000"/>
                <w:rtl w:val="0"/>
              </w:rPr>
              <w:t xml:space="preserve">5000</w:t>
            </w:r>
          </w:p>
        </w:tc>
        <w:tc>
          <w:tcPr/>
          <w:p w:rsidR="00000000" w:rsidDel="00000000" w:rsidP="00000000" w:rsidRDefault="00000000" w:rsidRPr="00000000" w14:paraId="0000003D">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3E">
            <w:pPr>
              <w:rPr/>
            </w:pPr>
            <w:r w:rsidDel="00000000" w:rsidR="00000000" w:rsidRPr="00000000">
              <w:rPr>
                <w:rtl w:val="0"/>
              </w:rPr>
              <w:t xml:space="preserve">Non è previsto l’impiego di testi. Eventuale materiale bibliografico sarà fornito dal docente sotto forma di dispense.</w:t>
            </w:r>
          </w:p>
        </w:tc>
        <w:tc>
          <w:tcPr/>
          <w:p w:rsidR="00000000" w:rsidDel="00000000" w:rsidP="00000000" w:rsidRDefault="00000000" w:rsidRPr="00000000" w14:paraId="0000003F">
            <w:pPr>
              <w:rPr/>
            </w:pPr>
            <w:r w:rsidDel="00000000" w:rsidR="00000000" w:rsidRPr="00000000">
              <w:rPr>
                <w:rtl w:val="0"/>
              </w:rPr>
              <w:t xml:space="preserve">Critical Bibliography</w:t>
              <w:br w:type="textWrapping"/>
              <w:t xml:space="preserve">Jacques Derrida and Lawrence Venuti, “What is a “Relevant” Translation?”;</w:t>
              <w:br w:type="textWrapping"/>
              <w:t xml:space="preserve">Giuseppe De Riso, “Time out of Time: Transworld Identity and the Collapse of Ontological Boundaries in The Accidental by Ali Smith”;</w:t>
              <w:br w:type="textWrapping"/>
              <w:t xml:space="preserve">Rossella Ciocca, Cinematic Narration and the Melange of Genres in The Accidental by Ali Smith;</w:t>
              <w:br w:type="textWrapping"/>
              <w:t xml:space="preserve">Brian McHale, Postmodernist Fiction;</w:t>
              <w:br w:type="textWrapping"/>
              <w:t xml:space="preserve">Mark Shuttleworth and Moira Cowie, A Dictionary of Translation Studies;</w:t>
              <w:br w:type="textWrapping"/>
              <w:t xml:space="preserve">Monica Germanà and Emily Horton, Ali Smith: Contemporary Critical Perspectives;</w:t>
              <w:br w:type="textWrapping"/>
              <w:t xml:space="preserve">Roman Jakobson, “On Linguistic Aspects of Translation”;</w:t>
              <w:br w:type="textWrapping"/>
              <w:t xml:space="preserve">Umberto Eco, Dire quasi la stessa cosa.</w:t>
              <w:br w:type="textWrapping"/>
              <w:t xml:space="preserve">The passages to be translated (which non-attending students can request by emailing the lecturer) will be taken from the following novels:</w:t>
              <w:br w:type="textWrapping"/>
              <w:t xml:space="preserve">Ali Smith, The Accidental (2005), Girl Meets Boy (2007), There But for the (2011), and</w:t>
              <w:br w:type="textWrapping"/>
              <w:t xml:space="preserve"> How to Be Both (2014) [any edition will do]</w:t>
            </w:r>
          </w:p>
        </w:tc>
      </w:tr>
      <w:tr>
        <w:trPr>
          <w:cantSplit w:val="0"/>
          <w:tblHeader w:val="0"/>
        </w:trPr>
        <w:tc>
          <w:tcPr>
            <w:shd w:fill="f2f2f2" w:val="clear"/>
          </w:tcPr>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Obiettivi formativi</w:t>
            </w:r>
            <w:r w:rsidDel="00000000" w:rsidR="00000000" w:rsidRPr="00000000">
              <w:rPr>
                <w:rtl w:val="0"/>
              </w:rPr>
            </w:r>
          </w:p>
        </w:tc>
        <w:tc>
          <w:tcPr/>
          <w:p w:rsidR="00000000" w:rsidDel="00000000" w:rsidP="00000000" w:rsidRDefault="00000000" w:rsidRPr="00000000" w14:paraId="00000041">
            <w:pPr>
              <w:rPr>
                <w:rFonts w:ascii="Arial" w:cs="Arial" w:eastAsia="Arial" w:hAnsi="Arial"/>
                <w:color w:val="000000"/>
              </w:rPr>
            </w:pPr>
            <w:r w:rsidDel="00000000" w:rsidR="00000000" w:rsidRPr="00000000">
              <w:rPr>
                <w:rFonts w:ascii="Arial" w:cs="Arial" w:eastAsia="Arial" w:hAnsi="Arial"/>
                <w:color w:val="000000"/>
                <w:rtl w:val="0"/>
              </w:rPr>
              <w:t xml:space="preserve">OBIETT_FORM</w:t>
            </w:r>
          </w:p>
        </w:tc>
        <w:tc>
          <w:tcPr/>
          <w:p w:rsidR="00000000" w:rsidDel="00000000" w:rsidP="00000000" w:rsidRDefault="00000000" w:rsidRPr="00000000" w14:paraId="00000042">
            <w:pPr>
              <w:rPr>
                <w:rFonts w:ascii="Arial" w:cs="Arial" w:eastAsia="Arial" w:hAnsi="Arial"/>
                <w:color w:val="000000"/>
              </w:rPr>
            </w:pPr>
            <w:r w:rsidDel="00000000" w:rsidR="00000000" w:rsidRPr="00000000">
              <w:rPr>
                <w:rFonts w:ascii="Arial" w:cs="Arial" w:eastAsia="Arial" w:hAnsi="Arial"/>
                <w:color w:val="000000"/>
                <w:rtl w:val="0"/>
              </w:rPr>
              <w:t xml:space="preserve">6000</w:t>
            </w:r>
          </w:p>
        </w:tc>
        <w:tc>
          <w:tcPr/>
          <w:p w:rsidR="00000000" w:rsidDel="00000000" w:rsidP="00000000" w:rsidRDefault="00000000" w:rsidRPr="00000000" w14:paraId="00000043">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44">
            <w:pPr>
              <w:rPr/>
            </w:pPr>
            <w:r w:rsidDel="00000000" w:rsidR="00000000" w:rsidRPr="00000000">
              <w:rPr>
                <w:rtl w:val="0"/>
              </w:rPr>
              <w:t xml:space="preserve">Il laboratorio è concepito per offrire agli studenti una visione d'insieme approfondita sui concetti fondamentali legati all'interrogazione dell'Intelligenza Artificiale, con un focus specifico sull'applicazione alla traduzione specialistica. Verranno esplorate pratiche avanzate come il Prompt Engineering e il Prompt Chaining, essenziali per formulare richieste efficaci e sequenze di istruzioni complesse. L'obiettivo è guidare gli studenti nella creazione di template ottimizzati per interrogare uno o più corpus letterari, estraendo informazioni pertinenti ai fini del processo traduttivo.</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Parallelamente, gli studenti acquisiranno familiarità con le principali pratiche di Natural Language Processing (NLP). Questo includerà l'applicazione di tecniche come la Latent Dirichlet Allocation (LDA) per l'individuazione di argomenti e temi latenti, il Named Entity Recognition (NER) per l'identificazione e classificazione di entità nominate (persone, luoghi, organizzazioni) e la Sentiment Analysis per l'estrazione di opinioni e stati d'animo. L'applicazione di queste metodologie consentirà di individuare pattern tematici e linguistici cruciali, fornendo insights preziosi per migliorare l'accuratezza, la coerenza e la qualità complessiva della traduzione specialistica.</w:t>
            </w:r>
          </w:p>
        </w:tc>
        <w:tc>
          <w:tcPr/>
          <w:p w:rsidR="00000000" w:rsidDel="00000000" w:rsidP="00000000" w:rsidRDefault="00000000" w:rsidRPr="00000000" w14:paraId="00000047">
            <w:pPr>
              <w:rPr/>
            </w:pPr>
            <w:r w:rsidDel="00000000" w:rsidR="00000000" w:rsidRPr="00000000">
              <w:rPr>
                <w:rtl w:val="0"/>
              </w:rPr>
              <w:t xml:space="preserve">The student is expected to learn the evolution of the main theories of literary translation by confronting the various historically and culturally contingent issues related to it.</w:t>
              <w:br w:type="textWrapping"/>
              <w:t xml:space="preserve">The course aims to make students aware of the problems of translation of the postmodern novel, with particular reference to humour, gender and semantic ambiguities, intersections and intertextual transitions in two novels by the Scottish author Ali Smith.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The course also aims to explore and capitalise on the potential of Artificial Intelligence (AI) in the field of specialised translation. Specifically, the goal is to guide students in the creation of data architectures and computational models that, through the intertextual analysis of a parallel corpus consisting of Ali Smith's original English novels and their Italian translations by Federica Aceto, will enable the training of AI systems capable of identifying intricate thematic, stylistic and linguistic connections between the source texts and their translations, promoting a deeper understanding of contextual nuances and semantic and pragmatic correspondences on the part of the translator.</w:t>
            </w:r>
          </w:p>
          <w:p w:rsidR="00000000" w:rsidDel="00000000" w:rsidP="00000000" w:rsidRDefault="00000000" w:rsidRPr="00000000" w14:paraId="0000004A">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B">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Prerequisiti</w:t>
            </w:r>
            <w:r w:rsidDel="00000000" w:rsidR="00000000" w:rsidRPr="00000000">
              <w:rPr>
                <w:rtl w:val="0"/>
              </w:rPr>
            </w:r>
          </w:p>
        </w:tc>
        <w:tc>
          <w:tcPr/>
          <w:p w:rsidR="00000000" w:rsidDel="00000000" w:rsidP="00000000" w:rsidRDefault="00000000" w:rsidRPr="00000000" w14:paraId="0000004C">
            <w:pPr>
              <w:rPr>
                <w:rFonts w:ascii="Arial" w:cs="Arial" w:eastAsia="Arial" w:hAnsi="Arial"/>
                <w:color w:val="000000"/>
              </w:rPr>
            </w:pPr>
            <w:r w:rsidDel="00000000" w:rsidR="00000000" w:rsidRPr="00000000">
              <w:rPr>
                <w:rFonts w:ascii="Arial" w:cs="Arial" w:eastAsia="Arial" w:hAnsi="Arial"/>
                <w:color w:val="000000"/>
                <w:rtl w:val="0"/>
              </w:rPr>
              <w:t xml:space="preserve">PREREQ</w:t>
            </w:r>
          </w:p>
        </w:tc>
        <w:tc>
          <w:tcPr/>
          <w:p w:rsidR="00000000" w:rsidDel="00000000" w:rsidP="00000000" w:rsidRDefault="00000000" w:rsidRPr="00000000" w14:paraId="0000004D">
            <w:pPr>
              <w:rPr>
                <w:rFonts w:ascii="Arial" w:cs="Arial" w:eastAsia="Arial" w:hAnsi="Arial"/>
                <w:color w:val="000000"/>
              </w:rPr>
            </w:pPr>
            <w:r w:rsidDel="00000000" w:rsidR="00000000" w:rsidRPr="00000000">
              <w:rPr>
                <w:rFonts w:ascii="Arial" w:cs="Arial" w:eastAsia="Arial" w:hAnsi="Arial"/>
                <w:color w:val="000000"/>
                <w:rtl w:val="0"/>
              </w:rPr>
              <w:t xml:space="preserve">5000</w:t>
            </w:r>
          </w:p>
        </w:tc>
        <w:tc>
          <w:tcPr/>
          <w:p w:rsidR="00000000" w:rsidDel="00000000" w:rsidP="00000000" w:rsidRDefault="00000000" w:rsidRPr="00000000" w14:paraId="0000004E">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4F">
            <w:pPr>
              <w:rPr/>
            </w:pPr>
            <w:r w:rsidDel="00000000" w:rsidR="00000000" w:rsidRPr="00000000">
              <w:rPr>
                <w:rtl w:val="0"/>
              </w:rPr>
              <w:t xml:space="preserve">Nessuno.</w:t>
            </w:r>
          </w:p>
        </w:tc>
        <w:tc>
          <w:tcPr/>
          <w:p w:rsidR="00000000" w:rsidDel="00000000" w:rsidP="00000000" w:rsidRDefault="00000000" w:rsidRPr="00000000" w14:paraId="00000050">
            <w:pPr>
              <w:rPr/>
            </w:pPr>
            <w:r w:rsidDel="00000000" w:rsidR="00000000" w:rsidRPr="00000000">
              <w:rPr>
                <w:rtl w:val="0"/>
              </w:rPr>
              <w:t xml:space="preserve">No prerequisites are needed.</w:t>
            </w:r>
          </w:p>
        </w:tc>
      </w:tr>
      <w:tr>
        <w:trPr>
          <w:cantSplit w:val="0"/>
          <w:tblHeader w:val="0"/>
        </w:trPr>
        <w:tc>
          <w:tcPr>
            <w:shd w:fill="f2f2f2" w:val="clear"/>
          </w:tcPr>
          <w:p w:rsidR="00000000" w:rsidDel="00000000" w:rsidP="00000000" w:rsidRDefault="00000000" w:rsidRPr="00000000" w14:paraId="00000051">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Metodi didattici</w:t>
            </w:r>
            <w:r w:rsidDel="00000000" w:rsidR="00000000" w:rsidRPr="00000000">
              <w:rPr>
                <w:rtl w:val="0"/>
              </w:rPr>
            </w:r>
          </w:p>
        </w:tc>
        <w:tc>
          <w:tcPr/>
          <w:p w:rsidR="00000000" w:rsidDel="00000000" w:rsidP="00000000" w:rsidRDefault="00000000" w:rsidRPr="00000000" w14:paraId="00000052">
            <w:pPr>
              <w:rPr>
                <w:rFonts w:ascii="Arial" w:cs="Arial" w:eastAsia="Arial" w:hAnsi="Arial"/>
                <w:color w:val="000000"/>
              </w:rPr>
            </w:pPr>
            <w:r w:rsidDel="00000000" w:rsidR="00000000" w:rsidRPr="00000000">
              <w:rPr>
                <w:rFonts w:ascii="Arial" w:cs="Arial" w:eastAsia="Arial" w:hAnsi="Arial"/>
                <w:color w:val="000000"/>
                <w:rtl w:val="0"/>
              </w:rPr>
              <w:t xml:space="preserve">METODI_DID</w:t>
            </w:r>
          </w:p>
        </w:tc>
        <w:tc>
          <w:tcPr/>
          <w:p w:rsidR="00000000" w:rsidDel="00000000" w:rsidP="00000000" w:rsidRDefault="00000000" w:rsidRPr="00000000" w14:paraId="00000053">
            <w:pPr>
              <w:rPr>
                <w:rFonts w:ascii="Arial" w:cs="Arial" w:eastAsia="Arial" w:hAnsi="Arial"/>
                <w:color w:val="000000"/>
              </w:rPr>
            </w:pPr>
            <w:r w:rsidDel="00000000" w:rsidR="00000000" w:rsidRPr="00000000">
              <w:rPr>
                <w:rFonts w:ascii="Arial" w:cs="Arial" w:eastAsia="Arial" w:hAnsi="Arial"/>
                <w:color w:val="000000"/>
                <w:rtl w:val="0"/>
              </w:rPr>
              <w:t xml:space="preserve">5000</w:t>
            </w:r>
          </w:p>
        </w:tc>
        <w:tc>
          <w:tcPr/>
          <w:p w:rsidR="00000000" w:rsidDel="00000000" w:rsidP="00000000" w:rsidRDefault="00000000" w:rsidRPr="00000000" w14:paraId="00000054">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55">
            <w:pPr>
              <w:rPr/>
            </w:pPr>
            <w:r w:rsidDel="00000000" w:rsidR="00000000" w:rsidRPr="00000000">
              <w:rPr>
                <w:rtl w:val="0"/>
              </w:rPr>
              <w:t xml:space="preserve">Il corso è strutturato per offrire un'esperienza didattica articolata in lezioni frontali e attività pratiche. Durante le lezioni, verranno presentate, analizzate, discusse e applicate le principali pratiche traduttive. Questo approccio integrato permetterà agli studenti di acquisire una profonda comprensione delle metodologie e delle strategie impiegate nella traduzione, spaziando dalle tecniche più tradizionali a quelle più innovative.</w:t>
            </w:r>
          </w:p>
        </w:tc>
        <w:tc>
          <w:tcPr/>
          <w:p w:rsidR="00000000" w:rsidDel="00000000" w:rsidP="00000000" w:rsidRDefault="00000000" w:rsidRPr="00000000" w14:paraId="00000056">
            <w:pPr>
              <w:rPr/>
            </w:pPr>
            <w:r w:rsidDel="00000000" w:rsidR="00000000" w:rsidRPr="00000000">
              <w:rPr>
                <w:rtl w:val="0"/>
              </w:rPr>
              <w:t xml:space="preserve">The course is structured to offer a comprehensive learning experience through lectures and practical activities. During the lectures, the main translation practices will be presented, analysed, discussed and applied. This integrated approach will allow students to gain a deep understanding of the methodologies and strategies used in translation, ranging from the most traditional to the most innovative techniques.</w:t>
            </w:r>
          </w:p>
        </w:tc>
      </w:tr>
      <w:tr>
        <w:trPr>
          <w:cantSplit w:val="0"/>
          <w:tblHeader w:val="0"/>
        </w:trPr>
        <w:tc>
          <w:tcPr>
            <w:shd w:fill="f2f2f2" w:val="clear"/>
          </w:tcPr>
          <w:p w:rsidR="00000000" w:rsidDel="00000000" w:rsidP="00000000" w:rsidRDefault="00000000" w:rsidRPr="00000000" w14:paraId="00000057">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Altre informazioni</w:t>
            </w:r>
            <w:r w:rsidDel="00000000" w:rsidR="00000000" w:rsidRPr="00000000">
              <w:rPr>
                <w:rtl w:val="0"/>
              </w:rPr>
            </w:r>
          </w:p>
        </w:tc>
        <w:tc>
          <w:tcPr/>
          <w:p w:rsidR="00000000" w:rsidDel="00000000" w:rsidP="00000000" w:rsidRDefault="00000000" w:rsidRPr="00000000" w14:paraId="00000058">
            <w:pPr>
              <w:rPr>
                <w:rFonts w:ascii="Arial" w:cs="Arial" w:eastAsia="Arial" w:hAnsi="Arial"/>
                <w:color w:val="000000"/>
              </w:rPr>
            </w:pPr>
            <w:r w:rsidDel="00000000" w:rsidR="00000000" w:rsidRPr="00000000">
              <w:rPr>
                <w:rFonts w:ascii="Arial" w:cs="Arial" w:eastAsia="Arial" w:hAnsi="Arial"/>
                <w:color w:val="000000"/>
                <w:rtl w:val="0"/>
              </w:rPr>
              <w:t xml:space="preserve">ALTRO</w:t>
            </w:r>
          </w:p>
        </w:tc>
        <w:tc>
          <w:tcPr/>
          <w:p w:rsidR="00000000" w:rsidDel="00000000" w:rsidP="00000000" w:rsidRDefault="00000000" w:rsidRPr="00000000" w14:paraId="00000059">
            <w:pPr>
              <w:rPr>
                <w:rFonts w:ascii="Arial" w:cs="Arial" w:eastAsia="Arial" w:hAnsi="Arial"/>
                <w:color w:val="000000"/>
              </w:rPr>
            </w:pPr>
            <w:r w:rsidDel="00000000" w:rsidR="00000000" w:rsidRPr="00000000">
              <w:rPr>
                <w:rFonts w:ascii="Arial" w:cs="Arial" w:eastAsia="Arial" w:hAnsi="Arial"/>
                <w:color w:val="000000"/>
                <w:rtl w:val="0"/>
              </w:rPr>
              <w:t xml:space="preserve">6000</w:t>
            </w:r>
          </w:p>
        </w:tc>
        <w:tc>
          <w:tcPr/>
          <w:p w:rsidR="00000000" w:rsidDel="00000000" w:rsidP="00000000" w:rsidRDefault="00000000" w:rsidRPr="00000000" w14:paraId="0000005A">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5B">
            <w:pPr>
              <w:rPr/>
            </w:pPr>
            <w:r w:rsidDel="00000000" w:rsidR="00000000" w:rsidRPr="00000000">
              <w:rPr>
                <w:rtl w:val="0"/>
              </w:rPr>
              <w:t xml:space="preserve">Nessuna.</w:t>
            </w:r>
          </w:p>
        </w:tc>
        <w:tc>
          <w:tcPr/>
          <w:p w:rsidR="00000000" w:rsidDel="00000000" w:rsidP="00000000" w:rsidRDefault="00000000" w:rsidRPr="00000000" w14:paraId="0000005C">
            <w:pPr>
              <w:rPr/>
            </w:pPr>
            <w:r w:rsidDel="00000000" w:rsidR="00000000" w:rsidRPr="00000000">
              <w:rPr>
                <w:rtl w:val="0"/>
              </w:rPr>
              <w:t xml:space="preserve">None.</w:t>
            </w:r>
          </w:p>
          <w:p w:rsidR="00000000" w:rsidDel="00000000" w:rsidP="00000000" w:rsidRDefault="00000000" w:rsidRPr="00000000" w14:paraId="0000005D">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E">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Modalità di verifica dell'apprendimento</w:t>
            </w:r>
            <w:r w:rsidDel="00000000" w:rsidR="00000000" w:rsidRPr="00000000">
              <w:rPr>
                <w:rtl w:val="0"/>
              </w:rPr>
            </w:r>
          </w:p>
        </w:tc>
        <w:tc>
          <w:tcPr/>
          <w:p w:rsidR="00000000" w:rsidDel="00000000" w:rsidP="00000000" w:rsidRDefault="00000000" w:rsidRPr="00000000" w14:paraId="0000005F">
            <w:pPr>
              <w:rPr>
                <w:rFonts w:ascii="Arial" w:cs="Arial" w:eastAsia="Arial" w:hAnsi="Arial"/>
                <w:color w:val="000000"/>
              </w:rPr>
            </w:pPr>
            <w:r w:rsidDel="00000000" w:rsidR="00000000" w:rsidRPr="00000000">
              <w:rPr>
                <w:rFonts w:ascii="Arial" w:cs="Arial" w:eastAsia="Arial" w:hAnsi="Arial"/>
                <w:color w:val="000000"/>
                <w:rtl w:val="0"/>
              </w:rPr>
              <w:t xml:space="preserve">MOD_VER_APPR</w:t>
            </w:r>
          </w:p>
        </w:tc>
        <w:tc>
          <w:tcPr/>
          <w:p w:rsidR="00000000" w:rsidDel="00000000" w:rsidP="00000000" w:rsidRDefault="00000000" w:rsidRPr="00000000" w14:paraId="00000060">
            <w:pPr>
              <w:rPr>
                <w:rFonts w:ascii="Arial" w:cs="Arial" w:eastAsia="Arial" w:hAnsi="Arial"/>
                <w:color w:val="000000"/>
              </w:rPr>
            </w:pPr>
            <w:r w:rsidDel="00000000" w:rsidR="00000000" w:rsidRPr="00000000">
              <w:rPr>
                <w:rFonts w:ascii="Arial" w:cs="Arial" w:eastAsia="Arial" w:hAnsi="Arial"/>
                <w:color w:val="000000"/>
                <w:rtl w:val="0"/>
              </w:rPr>
              <w:t xml:space="preserve">5000</w:t>
            </w:r>
          </w:p>
        </w:tc>
        <w:tc>
          <w:tcPr/>
          <w:p w:rsidR="00000000" w:rsidDel="00000000" w:rsidP="00000000" w:rsidRDefault="00000000" w:rsidRPr="00000000" w14:paraId="00000061">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62">
            <w:pPr>
              <w:rPr/>
            </w:pPr>
            <w:r w:rsidDel="00000000" w:rsidR="00000000" w:rsidRPr="00000000">
              <w:rPr>
                <w:rtl w:val="0"/>
              </w:rPr>
              <w:t xml:space="preserve">L'attività laboratoriale si fonderà sulla partecipazione attiva e costante degli studenti. Questo sarà un elemento cruciale e costantemente monitorato dal docente.L’impegno nel corso delle attività pratiche sarà oggetto di attenta valutazione, riconoscendo il ruolo fondamentale che la pratica e la discussione giocano nell'apprendimento delle competenze.</w:t>
            </w:r>
          </w:p>
        </w:tc>
        <w:tc>
          <w:tcPr/>
          <w:p w:rsidR="00000000" w:rsidDel="00000000" w:rsidP="00000000" w:rsidRDefault="00000000" w:rsidRPr="00000000" w14:paraId="00000063">
            <w:pPr>
              <w:rPr/>
            </w:pPr>
            <w:r w:rsidDel="00000000" w:rsidR="00000000" w:rsidRPr="00000000">
              <w:rPr>
                <w:rtl w:val="0"/>
              </w:rPr>
              <w:t xml:space="preserve">Students who wish to do so will have the opportunity to take a written test at the end of the course, the (numerical) assessment of which will form the basis for the final discussion in Italian and English, which will focus mainly on the discussion of the passages translated in the lectures.</w:t>
              <w:br w:type="textWrapping"/>
              <w:t xml:space="preserve">Students who feel they have not attended the course sufficiently will instead have to take the final exam in English, in which they will be asked to translate in writing and comment on two or more English passages selected by the lecturer from the texts listed in the bibliography. The exam will also test knowledge of the critical bibliography on translation.</w:t>
            </w:r>
          </w:p>
        </w:tc>
      </w:tr>
      <w:tr>
        <w:trPr>
          <w:cantSplit w:val="0"/>
          <w:tblHeader w:val="0"/>
        </w:trPr>
        <w:tc>
          <w:tcPr>
            <w:shd w:fill="f2f2f2" w:val="clear"/>
          </w:tcPr>
          <w:p w:rsidR="00000000" w:rsidDel="00000000" w:rsidP="00000000" w:rsidRDefault="00000000" w:rsidRPr="00000000" w14:paraId="00000064">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Programma esteso</w:t>
            </w:r>
            <w:r w:rsidDel="00000000" w:rsidR="00000000" w:rsidRPr="00000000">
              <w:rPr>
                <w:rtl w:val="0"/>
              </w:rPr>
            </w:r>
          </w:p>
        </w:tc>
        <w:tc>
          <w:tcPr/>
          <w:p w:rsidR="00000000" w:rsidDel="00000000" w:rsidP="00000000" w:rsidRDefault="00000000" w:rsidRPr="00000000" w14:paraId="00000065">
            <w:pPr>
              <w:rPr>
                <w:rFonts w:ascii="Arial" w:cs="Arial" w:eastAsia="Arial" w:hAnsi="Arial"/>
                <w:color w:val="000000"/>
              </w:rPr>
            </w:pPr>
            <w:r w:rsidDel="00000000" w:rsidR="00000000" w:rsidRPr="00000000">
              <w:rPr>
                <w:rFonts w:ascii="Arial" w:cs="Arial" w:eastAsia="Arial" w:hAnsi="Arial"/>
                <w:color w:val="000000"/>
                <w:rtl w:val="0"/>
              </w:rPr>
              <w:t xml:space="preserve">PROGR_EST</w:t>
            </w:r>
          </w:p>
        </w:tc>
        <w:tc>
          <w:tcPr/>
          <w:p w:rsidR="00000000" w:rsidDel="00000000" w:rsidP="00000000" w:rsidRDefault="00000000" w:rsidRPr="00000000" w14:paraId="00000066">
            <w:pPr>
              <w:rPr>
                <w:rFonts w:ascii="Arial" w:cs="Arial" w:eastAsia="Arial" w:hAnsi="Arial"/>
                <w:color w:val="000000"/>
              </w:rPr>
            </w:pPr>
            <w:r w:rsidDel="00000000" w:rsidR="00000000" w:rsidRPr="00000000">
              <w:rPr>
                <w:rFonts w:ascii="Arial" w:cs="Arial" w:eastAsia="Arial" w:hAnsi="Arial"/>
                <w:color w:val="000000"/>
                <w:rtl w:val="0"/>
              </w:rPr>
              <w:t xml:space="preserve">6000</w:t>
            </w:r>
          </w:p>
        </w:tc>
        <w:tc>
          <w:tcPr/>
          <w:p w:rsidR="00000000" w:rsidDel="00000000" w:rsidP="00000000" w:rsidRDefault="00000000" w:rsidRPr="00000000" w14:paraId="00000067">
            <w:pPr>
              <w:rPr>
                <w:rFonts w:ascii="Arial" w:cs="Arial" w:eastAsia="Arial" w:hAnsi="Arial"/>
                <w:color w:val="000000"/>
              </w:rPr>
            </w:pPr>
            <w:r w:rsidDel="00000000" w:rsidR="00000000" w:rsidRPr="00000000">
              <w:rPr>
                <w:rFonts w:ascii="Arial" w:cs="Arial" w:eastAsia="Arial" w:hAnsi="Arial"/>
                <w:color w:val="000000"/>
                <w:rtl w:val="0"/>
              </w:rPr>
              <w:t xml:space="preserve">Sì</w:t>
            </w:r>
          </w:p>
        </w:tc>
        <w:tc>
          <w:tcPr/>
          <w:p w:rsidR="00000000" w:rsidDel="00000000" w:rsidP="00000000" w:rsidRDefault="00000000" w:rsidRPr="00000000" w14:paraId="00000068">
            <w:pPr>
              <w:rPr/>
            </w:pPr>
            <w:r w:rsidDel="00000000" w:rsidR="00000000" w:rsidRPr="00000000">
              <w:rPr>
                <w:rtl w:val="0"/>
              </w:rPr>
              <w:t xml:space="preserve">Le informazioni necessarie sono state tutte riassunte nei punti precedenti.</w:t>
            </w:r>
          </w:p>
        </w:tc>
        <w:tc>
          <w:tcPr/>
          <w:p w:rsidR="00000000" w:rsidDel="00000000" w:rsidP="00000000" w:rsidRDefault="00000000" w:rsidRPr="00000000" w14:paraId="00000069">
            <w:pPr>
              <w:rPr/>
            </w:pPr>
            <w:r w:rsidDel="00000000" w:rsidR="00000000" w:rsidRPr="00000000">
              <w:rPr>
                <w:rtl w:val="0"/>
              </w:rPr>
              <w:t xml:space="preserve">All the essential information has been summarized previously.</w:t>
            </w:r>
          </w:p>
        </w:tc>
      </w:tr>
      <w:tr>
        <w:trPr>
          <w:cantSplit w:val="0"/>
          <w:tblHeader w:val="0"/>
        </w:trPr>
        <w:tc>
          <w:tcPr>
            <w:shd w:fill="f2f2f2" w:val="clear"/>
          </w:tcPr>
          <w:p w:rsidR="00000000" w:rsidDel="00000000" w:rsidP="00000000" w:rsidRDefault="00000000" w:rsidRPr="00000000" w14:paraId="0000006A">
            <w:pPr>
              <w:rPr>
                <w:rFonts w:ascii="Arial" w:cs="Arial" w:eastAsia="Arial" w:hAnsi="Arial"/>
                <w:b w:val="1"/>
                <w:bCs w:val="1"/>
              </w:rPr>
            </w:pPr>
            <w:r w:rsidDel="00000000" w:rsidR="00000000" w:rsidRPr="00000000">
              <w:rPr>
                <w:rFonts w:ascii="Arial" w:cs="Arial" w:eastAsia="Arial" w:hAnsi="Arial"/>
                <w:b w:val="1"/>
                <w:bCs w:val="1"/>
                <w:rtl w:val="0"/>
              </w:rPr>
              <w:t xml:space="preserve">OBIETTIVI AGENDA 2030 PER LO SVILUPPO SOSTENIBILE</w:t>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c>
          <w:tcPr/>
          <w:p w:rsidR="00000000" w:rsidDel="00000000" w:rsidP="00000000" w:rsidRDefault="00000000" w:rsidRPr="00000000" w14:paraId="0000006C">
            <w:pPr>
              <w:rPr>
                <w:rFonts w:ascii="Arial" w:cs="Arial" w:eastAsia="Arial" w:hAnsi="Arial"/>
              </w:rPr>
            </w:pPr>
            <w:r w:rsidDel="00000000" w:rsidR="00000000" w:rsidRPr="00000000">
              <w:rPr>
                <w:rtl w:val="0"/>
              </w:rPr>
            </w:r>
          </w:p>
        </w:tc>
        <w:tc>
          <w:tcPr/>
          <w:p w:rsidR="00000000" w:rsidDel="00000000" w:rsidP="00000000" w:rsidRDefault="00000000" w:rsidRPr="00000000" w14:paraId="0000006D">
            <w:pPr>
              <w:rPr>
                <w:rFonts w:ascii="Arial" w:cs="Arial" w:eastAsia="Arial" w:hAnsi="Arial"/>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Fonts w:ascii="Arial" w:cs="Arial" w:eastAsia="Arial" w:hAnsi="Arial"/>
                <w:sz w:val="20"/>
                <w:szCs w:val="20"/>
                <w:highlight w:val="white"/>
                <w:rtl w:val="0"/>
              </w:rPr>
              <w:t xml:space="preserve">Non sono previsti contenuti sui temi dello sviluppo sostenibile.</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content on sustainable development issues is planned.</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1907" w:w="16839" w:orient="landscape"/>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ind w:left="86"/>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