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8F9C0" w14:textId="22F48A76" w:rsidR="00360419" w:rsidRPr="00360419" w:rsidRDefault="00360419" w:rsidP="00360419">
      <w:pPr>
        <w:spacing w:line="360" w:lineRule="exact"/>
        <w:jc w:val="center"/>
        <w:rPr>
          <w:rFonts w:ascii="Garamond" w:hAnsi="Garamond"/>
          <w:b/>
          <w:bCs/>
          <w:sz w:val="32"/>
          <w:szCs w:val="32"/>
          <w:lang w:val="en-US"/>
        </w:rPr>
      </w:pPr>
      <w:r w:rsidRPr="00360419">
        <w:rPr>
          <w:rFonts w:ascii="Garamond" w:hAnsi="Garamond"/>
          <w:b/>
          <w:bCs/>
          <w:sz w:val="32"/>
          <w:szCs w:val="32"/>
          <w:lang w:val="en-US"/>
        </w:rPr>
        <w:t>Citizenshop. On the commodification</w:t>
      </w:r>
    </w:p>
    <w:p w14:paraId="14220A40" w14:textId="2CBABF37" w:rsidR="00360419" w:rsidRPr="00360419" w:rsidRDefault="00360419" w:rsidP="00360419">
      <w:pPr>
        <w:spacing w:line="360" w:lineRule="exact"/>
        <w:jc w:val="center"/>
        <w:rPr>
          <w:rFonts w:ascii="Garamond" w:hAnsi="Garamond"/>
          <w:b/>
          <w:bCs/>
          <w:sz w:val="32"/>
          <w:szCs w:val="32"/>
          <w:lang w:val="en-US"/>
        </w:rPr>
      </w:pPr>
      <w:r w:rsidRPr="00360419">
        <w:rPr>
          <w:rFonts w:ascii="Garamond" w:hAnsi="Garamond"/>
          <w:b/>
          <w:bCs/>
          <w:sz w:val="32"/>
          <w:szCs w:val="32"/>
          <w:lang w:val="en-US"/>
        </w:rPr>
        <w:t>of EU citizenship rights</w:t>
      </w:r>
      <w:r w:rsidRPr="00360419">
        <w:rPr>
          <w:rFonts w:ascii="Garamond" w:hAnsi="Garamond"/>
          <w:b/>
          <w:bCs/>
          <w:sz w:val="32"/>
          <w:szCs w:val="32"/>
          <w:vertAlign w:val="superscript"/>
          <w:lang w:val="en-US"/>
        </w:rPr>
        <w:footnoteReference w:id="1"/>
      </w:r>
    </w:p>
    <w:p w14:paraId="78F0085F" w14:textId="77777777" w:rsidR="00360419" w:rsidRPr="00360419" w:rsidRDefault="00360419" w:rsidP="00360419">
      <w:pPr>
        <w:spacing w:line="260" w:lineRule="exact"/>
        <w:jc w:val="both"/>
        <w:rPr>
          <w:rFonts w:ascii="Garamond" w:hAnsi="Garamond"/>
          <w:sz w:val="22"/>
          <w:szCs w:val="22"/>
          <w:lang w:val="en-US"/>
        </w:rPr>
      </w:pPr>
    </w:p>
    <w:p w14:paraId="2B7E1D86" w14:textId="77777777" w:rsidR="00360419" w:rsidRPr="00360419" w:rsidRDefault="00360419" w:rsidP="00360419">
      <w:pPr>
        <w:spacing w:line="260" w:lineRule="exact"/>
        <w:jc w:val="center"/>
        <w:rPr>
          <w:rFonts w:ascii="Garamond" w:hAnsi="Garamond"/>
          <w:lang w:val="en-US"/>
        </w:rPr>
      </w:pPr>
      <w:r w:rsidRPr="00360419">
        <w:rPr>
          <w:rFonts w:ascii="Garamond" w:hAnsi="Garamond"/>
          <w:b/>
          <w:bCs/>
          <w:lang w:val="en-US"/>
        </w:rPr>
        <w:t>Luca Paolo Cirillo</w:t>
      </w:r>
    </w:p>
    <w:p w14:paraId="203F5EA5" w14:textId="3B220B4E" w:rsidR="00360419" w:rsidRPr="00360419" w:rsidRDefault="00360419" w:rsidP="00360419">
      <w:pPr>
        <w:spacing w:line="260" w:lineRule="exact"/>
        <w:jc w:val="center"/>
        <w:rPr>
          <w:rFonts w:ascii="Garamond" w:hAnsi="Garamond"/>
          <w:sz w:val="20"/>
          <w:szCs w:val="20"/>
          <w:lang w:val="en-US"/>
        </w:rPr>
      </w:pPr>
      <w:r w:rsidRPr="00360419">
        <w:rPr>
          <w:rFonts w:ascii="Garamond" w:hAnsi="Garamond"/>
          <w:sz w:val="20"/>
          <w:szCs w:val="20"/>
          <w:lang w:val="en-US"/>
        </w:rPr>
        <w:t>(University of Naples L’Orientale and Radbound University Nijmegen)</w:t>
      </w:r>
    </w:p>
    <w:p w14:paraId="3A1EA5ED" w14:textId="77777777" w:rsidR="00360419" w:rsidRPr="00360419" w:rsidRDefault="00360419" w:rsidP="00360419">
      <w:pPr>
        <w:spacing w:before="100" w:line="260" w:lineRule="exact"/>
        <w:jc w:val="center"/>
        <w:rPr>
          <w:rFonts w:ascii="Garamond" w:hAnsi="Garamond"/>
          <w:b/>
          <w:bCs/>
        </w:rPr>
      </w:pPr>
      <w:r w:rsidRPr="00360419">
        <w:rPr>
          <w:rFonts w:ascii="Garamond" w:hAnsi="Garamond"/>
          <w:b/>
          <w:bCs/>
        </w:rPr>
        <w:t>Fabiana Piretti</w:t>
      </w:r>
    </w:p>
    <w:p w14:paraId="44D04199" w14:textId="77777777" w:rsidR="00360419" w:rsidRPr="00360419" w:rsidRDefault="00360419" w:rsidP="00360419">
      <w:pPr>
        <w:spacing w:line="260" w:lineRule="exact"/>
        <w:jc w:val="center"/>
        <w:rPr>
          <w:rFonts w:ascii="Garamond" w:hAnsi="Garamond"/>
          <w:sz w:val="20"/>
          <w:szCs w:val="20"/>
        </w:rPr>
      </w:pPr>
      <w:r w:rsidRPr="00360419">
        <w:rPr>
          <w:rFonts w:ascii="Garamond" w:hAnsi="Garamond"/>
          <w:sz w:val="20"/>
          <w:szCs w:val="20"/>
        </w:rPr>
        <w:t>(University of Torino)</w:t>
      </w:r>
    </w:p>
    <w:p w14:paraId="047175E2" w14:textId="77777777" w:rsidR="00360419" w:rsidRPr="00360419" w:rsidRDefault="00360419" w:rsidP="00360419">
      <w:pPr>
        <w:spacing w:line="260" w:lineRule="exact"/>
        <w:jc w:val="both"/>
        <w:rPr>
          <w:rFonts w:ascii="Garamond" w:hAnsi="Garamond"/>
          <w:sz w:val="22"/>
          <w:szCs w:val="22"/>
        </w:rPr>
      </w:pPr>
    </w:p>
    <w:p w14:paraId="0FC416C7" w14:textId="77777777" w:rsidR="00360419" w:rsidRPr="00360419" w:rsidRDefault="00360419" w:rsidP="00360419">
      <w:pPr>
        <w:spacing w:line="260" w:lineRule="exact"/>
        <w:jc w:val="both"/>
        <w:rPr>
          <w:rFonts w:ascii="Garamond" w:hAnsi="Garamond"/>
          <w:sz w:val="22"/>
          <w:szCs w:val="22"/>
        </w:rPr>
      </w:pPr>
    </w:p>
    <w:p w14:paraId="1219B938" w14:textId="7FBE0C3E" w:rsidR="00360419" w:rsidRPr="00360419" w:rsidRDefault="00360419" w:rsidP="00360419">
      <w:pPr>
        <w:spacing w:line="220" w:lineRule="exact"/>
        <w:ind w:firstLine="284"/>
        <w:jc w:val="both"/>
        <w:rPr>
          <w:rFonts w:ascii="Garamond" w:hAnsi="Garamond"/>
          <w:smallCaps/>
          <w:sz w:val="18"/>
          <w:szCs w:val="18"/>
          <w:lang w:val="en-US"/>
        </w:rPr>
      </w:pPr>
      <w:r w:rsidRPr="00360419">
        <w:rPr>
          <w:rFonts w:ascii="Garamond" w:hAnsi="Garamond"/>
          <w:smallCaps/>
          <w:sz w:val="18"/>
          <w:szCs w:val="18"/>
          <w:lang w:val="en-US"/>
        </w:rPr>
        <w:t>Abstract</w:t>
      </w:r>
    </w:p>
    <w:p w14:paraId="585190F4" w14:textId="77777777" w:rsidR="00360419" w:rsidRPr="00360419" w:rsidRDefault="00360419" w:rsidP="00360419">
      <w:pPr>
        <w:spacing w:line="220" w:lineRule="exact"/>
        <w:ind w:firstLine="284"/>
        <w:jc w:val="both"/>
        <w:rPr>
          <w:rFonts w:ascii="Garamond" w:hAnsi="Garamond"/>
          <w:sz w:val="18"/>
          <w:szCs w:val="18"/>
          <w:lang w:val="en-US"/>
        </w:rPr>
      </w:pPr>
      <w:r w:rsidRPr="00360419">
        <w:rPr>
          <w:rFonts w:ascii="Garamond" w:hAnsi="Garamond"/>
          <w:sz w:val="18"/>
          <w:szCs w:val="18"/>
          <w:lang w:val="en-US"/>
        </w:rPr>
        <w:t>The article examines the growing trend among EU member states of normalizing financial investments in exchange for residency and citizenship rights, critiquing the EU visa system as increasingly class-based and economically driven. Through an investigation of Residency-By-Investment (RBI) and Citizenship-By-Investment (CBI) programs, it sheds lights on the commodification of EU residency and citizenship, emphasizing the economic factors that dominate visa approval processes, and advocating the need for a renewed engagement between border studies and class analysis.</w:t>
      </w:r>
    </w:p>
    <w:p w14:paraId="4C32C3EC" w14:textId="77777777" w:rsidR="00360419" w:rsidRPr="00360419" w:rsidRDefault="00360419" w:rsidP="00360419">
      <w:pPr>
        <w:spacing w:line="220" w:lineRule="exact"/>
        <w:ind w:firstLine="284"/>
        <w:jc w:val="both"/>
        <w:rPr>
          <w:rFonts w:ascii="Garamond" w:hAnsi="Garamond"/>
          <w:sz w:val="18"/>
          <w:szCs w:val="18"/>
          <w:lang w:val="en-US"/>
        </w:rPr>
      </w:pPr>
    </w:p>
    <w:p w14:paraId="5293020F" w14:textId="77777777" w:rsidR="00360419" w:rsidRPr="00360419" w:rsidRDefault="00360419" w:rsidP="00360419">
      <w:pPr>
        <w:spacing w:line="220" w:lineRule="exact"/>
        <w:ind w:firstLine="284"/>
        <w:jc w:val="both"/>
        <w:rPr>
          <w:rFonts w:ascii="Garamond" w:hAnsi="Garamond"/>
          <w:smallCaps/>
          <w:sz w:val="18"/>
          <w:szCs w:val="18"/>
        </w:rPr>
      </w:pPr>
      <w:r w:rsidRPr="00360419">
        <w:rPr>
          <w:rFonts w:ascii="Garamond" w:hAnsi="Garamond"/>
          <w:smallCaps/>
          <w:sz w:val="18"/>
          <w:szCs w:val="18"/>
        </w:rPr>
        <w:t>Riassunto</w:t>
      </w:r>
    </w:p>
    <w:p w14:paraId="6CC2E4AB" w14:textId="77777777" w:rsidR="00360419" w:rsidRPr="00360419" w:rsidRDefault="00360419" w:rsidP="00360419">
      <w:pPr>
        <w:spacing w:line="220" w:lineRule="exact"/>
        <w:ind w:firstLine="284"/>
        <w:jc w:val="both"/>
        <w:rPr>
          <w:rFonts w:ascii="Garamond" w:hAnsi="Garamond"/>
          <w:sz w:val="18"/>
          <w:szCs w:val="18"/>
        </w:rPr>
      </w:pPr>
      <w:r w:rsidRPr="00360419">
        <w:rPr>
          <w:rFonts w:ascii="Garamond" w:hAnsi="Garamond"/>
          <w:sz w:val="18"/>
          <w:szCs w:val="18"/>
        </w:rPr>
        <w:t>La ricerca esamina la crescente tendenza tra gli Stati membri dell’UE a normalizzare la concessione di diritti di residenza e cittadinanza in cambio di investimenti finanziari, rivelando il carattere classista e meramente dominato da interessi economici del sistema di rilascio dei visti nell’UE. Attraverso l’analisi dei programmi di Residenza per Investimento (RBI) e Cittadinanza per Investimento (CBI), l’articolo disvela l’attuale mercificazione dei diritti di residenza e cittadinanza, sollecitando l’urgenza di un rinnovato dialogo tra gli studi di confine e l’analisi di classe.</w:t>
      </w:r>
    </w:p>
    <w:p w14:paraId="0BCB718E" w14:textId="77777777" w:rsidR="00360419" w:rsidRPr="00360419" w:rsidRDefault="00360419" w:rsidP="00360419">
      <w:pPr>
        <w:spacing w:line="260" w:lineRule="exact"/>
        <w:jc w:val="both"/>
        <w:rPr>
          <w:rFonts w:ascii="Garamond" w:hAnsi="Garamond"/>
          <w:sz w:val="22"/>
          <w:szCs w:val="22"/>
        </w:rPr>
      </w:pPr>
    </w:p>
    <w:p w14:paraId="16D00AC3" w14:textId="77777777" w:rsidR="00360419" w:rsidRPr="00360419" w:rsidRDefault="00360419" w:rsidP="00360419">
      <w:pPr>
        <w:ind w:firstLine="284"/>
        <w:jc w:val="both"/>
        <w:rPr>
          <w:rFonts w:ascii="Garamond" w:hAnsi="Garamond"/>
          <w:sz w:val="22"/>
          <w:szCs w:val="22"/>
        </w:rPr>
      </w:pPr>
    </w:p>
    <w:p w14:paraId="38E8A4DA" w14:textId="50AA714A" w:rsidR="00360419" w:rsidRPr="00360419" w:rsidRDefault="00360419" w:rsidP="00360419">
      <w:pPr>
        <w:ind w:firstLine="284"/>
        <w:jc w:val="both"/>
        <w:rPr>
          <w:rFonts w:ascii="Garamond" w:hAnsi="Garamond"/>
          <w:smallCaps/>
          <w:sz w:val="22"/>
          <w:szCs w:val="22"/>
        </w:rPr>
      </w:pPr>
      <w:r>
        <w:rPr>
          <w:rFonts w:ascii="Garamond" w:hAnsi="Garamond"/>
          <w:smallCaps/>
          <w:sz w:val="22"/>
          <w:szCs w:val="22"/>
        </w:rPr>
        <w:t>Introduction</w:t>
      </w:r>
    </w:p>
    <w:p w14:paraId="2AF59580" w14:textId="77777777" w:rsidR="00360419" w:rsidRPr="00360419" w:rsidRDefault="00360419" w:rsidP="006461AD">
      <w:pPr>
        <w:spacing w:line="260" w:lineRule="exact"/>
        <w:ind w:firstLine="284"/>
        <w:jc w:val="both"/>
        <w:rPr>
          <w:rFonts w:ascii="Garamond" w:hAnsi="Garamond"/>
          <w:sz w:val="22"/>
          <w:szCs w:val="22"/>
          <w:lang w:val="en-US"/>
        </w:rPr>
      </w:pPr>
    </w:p>
    <w:p w14:paraId="13570728" w14:textId="735F78DD" w:rsidR="00360419" w:rsidRPr="00360419" w:rsidRDefault="00360419" w:rsidP="006461AD">
      <w:pPr>
        <w:spacing w:line="260" w:lineRule="exact"/>
        <w:ind w:firstLine="284"/>
        <w:jc w:val="both"/>
        <w:rPr>
          <w:rFonts w:ascii="Garamond" w:hAnsi="Garamond"/>
          <w:sz w:val="22"/>
          <w:szCs w:val="22"/>
          <w:lang w:val="en-US"/>
        </w:rPr>
      </w:pPr>
      <w:r w:rsidRPr="00360419">
        <w:rPr>
          <w:rFonts w:ascii="Garamond" w:hAnsi="Garamond"/>
          <w:sz w:val="22"/>
          <w:szCs w:val="22"/>
          <w:lang w:val="en-US"/>
        </w:rPr>
        <w:t>In contemporary border literature and research it is common to describe borders as violent and deadly processes. In the case of the European Union (EU), there is an abundance of researches addressing EU border and migration management as “necropolitics” and “thanatopolitics”, focusing on its lethal bordering practices in the Mediterranean waters, along the Balkan route, and</w:t>
      </w:r>
      <w:r>
        <w:rPr>
          <w:rFonts w:ascii="Garamond" w:hAnsi="Garamond"/>
          <w:sz w:val="22"/>
          <w:szCs w:val="22"/>
          <w:lang w:val="en-US"/>
        </w:rPr>
        <w:t xml:space="preserve"> </w:t>
      </w:r>
      <w:r w:rsidRPr="00360419">
        <w:rPr>
          <w:rFonts w:ascii="Garamond" w:hAnsi="Garamond"/>
          <w:sz w:val="22"/>
          <w:szCs w:val="22"/>
          <w:lang w:val="en-US"/>
        </w:rPr>
        <w:t xml:space="preserve">althy traveller? How is the trip for a HNWI (High-Net-Worth Individual)? Looking at the growing golden visa and commodification of EU citizenship rights, allowing wealthy people to quickly obtain EU citizenship by making specific investments (ius doni or ius pecuniae), we assert that </w:t>
      </w:r>
      <w:r w:rsidRPr="00360419">
        <w:rPr>
          <w:rFonts w:ascii="Garamond" w:hAnsi="Garamond"/>
          <w:sz w:val="22"/>
          <w:szCs w:val="22"/>
          <w:lang w:val="en-US"/>
        </w:rPr>
        <w:lastRenderedPageBreak/>
        <w:t>EU’s borders are violent and deadly processes only for poor travellers, being the mobility divide mostly rooted in economic wealth.</w:t>
      </w:r>
    </w:p>
    <w:p w14:paraId="35BCEA55" w14:textId="77777777" w:rsidR="00AF0799" w:rsidRDefault="00AF0799" w:rsidP="006461AD">
      <w:pPr>
        <w:spacing w:line="260" w:lineRule="exact"/>
        <w:ind w:firstLine="284"/>
        <w:jc w:val="both"/>
        <w:rPr>
          <w:rFonts w:ascii="Garamond" w:hAnsi="Garamond"/>
          <w:smallCaps/>
          <w:sz w:val="22"/>
          <w:szCs w:val="22"/>
          <w:lang w:val="en-US"/>
        </w:rPr>
      </w:pPr>
    </w:p>
    <w:p w14:paraId="4C2EAC50" w14:textId="3349EAAE" w:rsidR="00360419" w:rsidRPr="00360419" w:rsidRDefault="00360419" w:rsidP="006461AD">
      <w:pPr>
        <w:spacing w:line="260" w:lineRule="exact"/>
        <w:ind w:firstLine="284"/>
        <w:jc w:val="both"/>
        <w:rPr>
          <w:rFonts w:ascii="Garamond" w:hAnsi="Garamond"/>
          <w:smallCaps/>
          <w:sz w:val="22"/>
          <w:szCs w:val="22"/>
          <w:lang w:val="en-US"/>
        </w:rPr>
      </w:pPr>
      <w:r w:rsidRPr="00360419">
        <w:rPr>
          <w:rFonts w:ascii="Garamond" w:hAnsi="Garamond"/>
          <w:smallCaps/>
          <w:sz w:val="22"/>
          <w:szCs w:val="22"/>
          <w:lang w:val="en-US"/>
        </w:rPr>
        <w:t>1. The visa apartheid </w:t>
      </w:r>
    </w:p>
    <w:p w14:paraId="35956110" w14:textId="3816EE0A" w:rsidR="00360419" w:rsidRPr="00360419" w:rsidRDefault="00360419" w:rsidP="006461AD">
      <w:pPr>
        <w:spacing w:line="260" w:lineRule="exact"/>
        <w:ind w:firstLine="284"/>
        <w:jc w:val="both"/>
        <w:rPr>
          <w:rFonts w:ascii="Garamond" w:hAnsi="Garamond"/>
          <w:sz w:val="22"/>
          <w:szCs w:val="22"/>
          <w:lang w:val="en-US"/>
        </w:rPr>
      </w:pPr>
    </w:p>
    <w:p w14:paraId="3EB98126" w14:textId="28A98883" w:rsidR="00360419" w:rsidRPr="00360419" w:rsidRDefault="00360419" w:rsidP="006461AD">
      <w:pPr>
        <w:spacing w:line="260" w:lineRule="exact"/>
        <w:ind w:firstLine="284"/>
        <w:jc w:val="both"/>
        <w:rPr>
          <w:rFonts w:ascii="Garamond" w:hAnsi="Garamond"/>
          <w:sz w:val="22"/>
          <w:szCs w:val="22"/>
          <w:lang w:val="en-US"/>
        </w:rPr>
      </w:pPr>
      <w:r w:rsidRPr="00360419">
        <w:rPr>
          <w:rFonts w:ascii="Garamond" w:hAnsi="Garamond"/>
          <w:sz w:val="22"/>
          <w:szCs w:val="22"/>
          <w:lang w:val="en-US"/>
        </w:rPr>
        <w:t>Although during the last decades we have witnessed the progressive fortification of EU’s external borders, in this short paper we argue that the main reason people continue to perish in the Mediterranean and on the Balkan route today is the impossibility of obtaining a visa legally. It is what has been termed the “global inequality trap of paper borders” (Van Houtum, Van Uden 2021, 20), a direct consequence of the invisible visa controlling system. This form of “tele-politics” (Ibid., 21) imposes visa-granting even before accessing the physical border, constituting a non-spectacular pre-bordering process, paradoxically at odds with the etymology of the term visa itself which, according to the Online Etymology Dictionary, coming from Latin VISUM, inherently involves visual control.</w:t>
      </w:r>
    </w:p>
    <w:p w14:paraId="6D9C5C94" w14:textId="77777777" w:rsidR="00360419" w:rsidRPr="00360419" w:rsidRDefault="00360419" w:rsidP="006461AD">
      <w:pPr>
        <w:spacing w:line="260" w:lineRule="exact"/>
        <w:ind w:firstLine="284"/>
        <w:jc w:val="both"/>
        <w:rPr>
          <w:rFonts w:ascii="Garamond" w:hAnsi="Garamond"/>
          <w:sz w:val="22"/>
          <w:szCs w:val="22"/>
          <w:lang w:val="en-US"/>
        </w:rPr>
      </w:pPr>
      <w:r w:rsidRPr="00360419">
        <w:rPr>
          <w:rFonts w:ascii="Garamond" w:hAnsi="Garamond"/>
          <w:sz w:val="22"/>
          <w:szCs w:val="22"/>
          <w:lang w:val="en-US"/>
        </w:rPr>
        <w:t>The national monopolisation of citizenship papers leading to the introduction of passports and the visa system originated in the early 20th century as provisional measures to regulate migration flows post-World War I (Torpey 2000). Notwithstanding, what were meant to be temporary instruments of bordering gradually turned the world into a “locked-in normality”, a process necessary to secure economic interests enabling various national and international institutions to halt, beat, detain, and violently push back people simply because they are not wealthy enough to get access granted in advance (Van Houtum, Van Uden 2021, 21). As Van Houtum and Van Uden remarked, paper borders prove indeed more effective than physical walls, serving as a geopolitical tool whose discriminative taxonomy is funded on untransparent criteria, much like the obscure standards determining a country’s inclusion in the visa-obliged or visa-free list (</w:t>
      </w:r>
      <w:r w:rsidRPr="00360419">
        <w:rPr>
          <w:rFonts w:ascii="Garamond" w:hAnsi="Garamond"/>
          <w:i/>
          <w:iCs/>
          <w:sz w:val="22"/>
          <w:szCs w:val="22"/>
          <w:lang w:val="da-DK"/>
        </w:rPr>
        <w:t>Ibidem</w:t>
      </w:r>
      <w:r w:rsidRPr="00360419">
        <w:rPr>
          <w:rFonts w:ascii="Garamond" w:hAnsi="Garamond"/>
          <w:sz w:val="22"/>
          <w:szCs w:val="22"/>
          <w:lang w:val="en-US"/>
        </w:rPr>
        <w:t>).</w:t>
      </w:r>
    </w:p>
    <w:p w14:paraId="01CE9EB1" w14:textId="22988870" w:rsidR="00E04D45" w:rsidRDefault="00360419" w:rsidP="006461AD">
      <w:pPr>
        <w:spacing w:line="260" w:lineRule="exact"/>
        <w:ind w:firstLine="284"/>
        <w:jc w:val="both"/>
        <w:rPr>
          <w:rFonts w:ascii="Garamond" w:hAnsi="Garamond"/>
          <w:sz w:val="22"/>
          <w:szCs w:val="22"/>
          <w:lang w:val="pt-PT"/>
        </w:rPr>
      </w:pPr>
      <w:r w:rsidRPr="00360419">
        <w:rPr>
          <w:rFonts w:ascii="Garamond" w:hAnsi="Garamond"/>
          <w:sz w:val="22"/>
          <w:szCs w:val="22"/>
          <w:lang w:val="en-US"/>
        </w:rPr>
        <w:t>In his 2010 article, Henk Van Houtum suggested the idea of the EU’</w:t>
      </w:r>
      <w:r w:rsidRPr="00360419">
        <w:rPr>
          <w:rFonts w:ascii="Garamond" w:hAnsi="Garamond"/>
          <w:sz w:val="22"/>
          <w:szCs w:val="22"/>
          <w:lang w:val="pt-PT"/>
        </w:rPr>
        <w:t>s border</w:t>
      </w:r>
    </w:p>
    <w:p w14:paraId="2EFA7787" w14:textId="77777777" w:rsidR="00360419" w:rsidRPr="00360419" w:rsidRDefault="00360419" w:rsidP="006461AD">
      <w:pPr>
        <w:spacing w:line="260" w:lineRule="exact"/>
        <w:ind w:firstLine="284"/>
        <w:jc w:val="both"/>
        <w:rPr>
          <w:rFonts w:ascii="Garamond" w:hAnsi="Garamond"/>
          <w:sz w:val="22"/>
          <w:szCs w:val="22"/>
          <w:lang w:val="en-US"/>
        </w:rPr>
      </w:pPr>
      <w:r w:rsidRPr="00360419">
        <w:rPr>
          <w:rFonts w:ascii="Garamond" w:hAnsi="Garamond"/>
          <w:sz w:val="22"/>
          <w:szCs w:val="22"/>
          <w:lang w:val="en-US"/>
        </w:rPr>
        <w:t>Although during the last decades we have witnessed the progressive fortification of EU’s external borders, in this short paper we argue that the main reason people continue to perish in the Mediterranean and on the Balkan route today is the impossibility of obtaining a visa legally. It is what has been termed the “global inequality trap of paper borders” (Van Houtum, Van Uden 2021, 20), a direct consequence of the invisible visa controlling system. This form of “tele-politics” (Ibid., 21) imposes visa-granting even before accessing the physical border, constituting a non-spectacular pre-bordering process, paradoxically at odds with the etymology of the term visa itself which, according to the Online Etymology Dictionary, coming from Latin VISUM, inherently involves visual control.</w:t>
      </w:r>
    </w:p>
    <w:p w14:paraId="59C82FE3" w14:textId="3D7B03B4" w:rsidR="00360419" w:rsidRPr="00360419" w:rsidRDefault="00360419" w:rsidP="006461AD">
      <w:pPr>
        <w:spacing w:line="260" w:lineRule="exact"/>
        <w:ind w:firstLine="284"/>
        <w:jc w:val="both"/>
        <w:rPr>
          <w:rFonts w:ascii="Garamond" w:hAnsi="Garamond"/>
          <w:sz w:val="22"/>
          <w:szCs w:val="22"/>
          <w:lang w:val="en-US"/>
        </w:rPr>
      </w:pPr>
      <w:r w:rsidRPr="00360419">
        <w:rPr>
          <w:rFonts w:ascii="Garamond" w:hAnsi="Garamond"/>
          <w:sz w:val="22"/>
          <w:szCs w:val="22"/>
          <w:lang w:val="en-US"/>
        </w:rPr>
        <w:t>The national monopolisation of citizenship papers leading to the introduction of passports and the visa system originated in the early 20th century as provisional measures to regulate migration flows post-World War I (Torpey 2000). Notwithstanding, what were meant to be temporary instruments of bordering gradually turned the world into a “locked-in normality”, a process necessary to secure economic interests enabling various national and international institutions to halt, beat, detain, and violently push back people simply because they are not wealthy enough to get access granted in advance (Van Houtum, Van Uden 2021, 21). As Van Houtum and Van Uden remarked, paper borders prove indeed more effective than physical walls, serving as a geopolitical tool whose discriminative taxonomy is funded on untransparent criteria, much like the obscure standards determining a country’s inclusion in the visa-obliged or visa-free list (</w:t>
      </w:r>
      <w:r w:rsidRPr="00360419">
        <w:rPr>
          <w:rFonts w:ascii="Garamond" w:hAnsi="Garamond"/>
          <w:i/>
          <w:iCs/>
          <w:sz w:val="22"/>
          <w:szCs w:val="22"/>
          <w:lang w:val="da-DK"/>
        </w:rPr>
        <w:t>Ibidem</w:t>
      </w:r>
      <w:r w:rsidRPr="00360419">
        <w:rPr>
          <w:rFonts w:ascii="Garamond" w:hAnsi="Garamond"/>
          <w:sz w:val="22"/>
          <w:szCs w:val="22"/>
          <w:lang w:val="en-US"/>
        </w:rPr>
        <w:t>).</w:t>
      </w:r>
    </w:p>
    <w:p w14:paraId="3FD96048" w14:textId="77777777" w:rsidR="0035761D" w:rsidRDefault="0035761D" w:rsidP="006461AD">
      <w:pPr>
        <w:spacing w:line="260" w:lineRule="exact"/>
        <w:ind w:firstLine="284"/>
        <w:jc w:val="both"/>
        <w:rPr>
          <w:rFonts w:ascii="Garamond" w:hAnsi="Garamond"/>
          <w:sz w:val="22"/>
          <w:szCs w:val="22"/>
          <w:lang w:val="en-US"/>
        </w:rPr>
      </w:pPr>
    </w:p>
    <w:p w14:paraId="26D531AF" w14:textId="29CBECEB" w:rsidR="0035761D" w:rsidRDefault="0035761D" w:rsidP="0035761D">
      <w:pPr>
        <w:jc w:val="center"/>
        <w:rPr>
          <w:rFonts w:ascii="Garamond" w:hAnsi="Garamond"/>
          <w:sz w:val="22"/>
          <w:szCs w:val="22"/>
          <w:lang w:val="en-US"/>
        </w:rPr>
      </w:pPr>
      <w:r w:rsidRPr="0035761D">
        <w:rPr>
          <w:rFonts w:ascii="Garamond" w:hAnsi="Garamond"/>
          <w:noProof/>
          <w:sz w:val="22"/>
          <w:szCs w:val="22"/>
          <w:lang w:val="en-US"/>
        </w:rPr>
        <w:drawing>
          <wp:inline distT="0" distB="0" distL="0" distR="0" wp14:anchorId="0F4CCEA3" wp14:editId="109FFFD6">
            <wp:extent cx="4038600" cy="2806700"/>
            <wp:effectExtent l="0" t="0" r="0" b="0"/>
            <wp:docPr id="181996080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960805" name=""/>
                    <pic:cNvPicPr/>
                  </pic:nvPicPr>
                  <pic:blipFill>
                    <a:blip r:embed="rId6"/>
                    <a:stretch>
                      <a:fillRect/>
                    </a:stretch>
                  </pic:blipFill>
                  <pic:spPr>
                    <a:xfrm>
                      <a:off x="0" y="0"/>
                      <a:ext cx="4038600" cy="2806700"/>
                    </a:xfrm>
                    <a:prstGeom prst="rect">
                      <a:avLst/>
                    </a:prstGeom>
                  </pic:spPr>
                </pic:pic>
              </a:graphicData>
            </a:graphic>
          </wp:inline>
        </w:drawing>
      </w:r>
    </w:p>
    <w:p w14:paraId="1899420B" w14:textId="77777777" w:rsidR="0035761D" w:rsidRDefault="0035761D" w:rsidP="0035761D">
      <w:pPr>
        <w:jc w:val="center"/>
        <w:rPr>
          <w:rFonts w:ascii="Garamond" w:hAnsi="Garamond"/>
          <w:sz w:val="22"/>
          <w:szCs w:val="22"/>
          <w:lang w:val="en-US"/>
        </w:rPr>
      </w:pPr>
    </w:p>
    <w:p w14:paraId="19CD7D55" w14:textId="49B3FA61" w:rsidR="0035761D" w:rsidRPr="0035761D" w:rsidRDefault="0035761D" w:rsidP="0035761D">
      <w:pPr>
        <w:spacing w:line="240" w:lineRule="exact"/>
        <w:jc w:val="both"/>
        <w:rPr>
          <w:rFonts w:ascii="Garamond" w:hAnsi="Garamond"/>
          <w:sz w:val="20"/>
          <w:szCs w:val="20"/>
          <w:lang w:val="en-US"/>
        </w:rPr>
      </w:pPr>
      <w:r w:rsidRPr="0035761D">
        <w:rPr>
          <w:rFonts w:ascii="Garamond" w:hAnsi="Garamond"/>
          <w:sz w:val="20"/>
          <w:szCs w:val="20"/>
          <w:lang w:val="en-US"/>
        </w:rPr>
        <w:t>Fig. 1. - Case studies and intervierws of the researchSource - Daniele Pasqualetti Qgis elaboration (basemap Dark Matter [no labels]).</w:t>
      </w:r>
    </w:p>
    <w:p w14:paraId="302AC7BA" w14:textId="77777777" w:rsidR="0035761D" w:rsidRDefault="0035761D" w:rsidP="0035761D">
      <w:pPr>
        <w:jc w:val="center"/>
        <w:rPr>
          <w:rFonts w:ascii="Garamond" w:hAnsi="Garamond"/>
          <w:sz w:val="22"/>
          <w:szCs w:val="22"/>
          <w:lang w:val="en-US"/>
        </w:rPr>
      </w:pPr>
    </w:p>
    <w:p w14:paraId="069005DB" w14:textId="77777777" w:rsidR="0035761D" w:rsidRDefault="0035761D" w:rsidP="0035761D">
      <w:pPr>
        <w:jc w:val="center"/>
        <w:rPr>
          <w:rFonts w:ascii="Garamond" w:hAnsi="Garamond"/>
          <w:sz w:val="22"/>
          <w:szCs w:val="22"/>
          <w:lang w:val="en-US"/>
        </w:rPr>
      </w:pPr>
    </w:p>
    <w:p w14:paraId="4B408001" w14:textId="77777777" w:rsidR="00360419" w:rsidRPr="00360419" w:rsidRDefault="00360419" w:rsidP="006461AD">
      <w:pPr>
        <w:spacing w:line="260" w:lineRule="exact"/>
        <w:ind w:firstLine="284"/>
        <w:jc w:val="both"/>
        <w:rPr>
          <w:rFonts w:ascii="Garamond" w:hAnsi="Garamond"/>
          <w:sz w:val="22"/>
          <w:szCs w:val="22"/>
          <w:lang w:val="en-US"/>
        </w:rPr>
      </w:pPr>
      <w:r w:rsidRPr="00360419">
        <w:rPr>
          <w:rFonts w:ascii="Garamond" w:hAnsi="Garamond"/>
          <w:sz w:val="22"/>
          <w:szCs w:val="22"/>
          <w:lang w:val="en-US"/>
        </w:rPr>
        <w:t>Although during the last decades we have witnessed the progressive fortification of EU’s external borders, in this short paper we argue that the main reason people continue to perish in the Mediterranean and on the Balkan route today is the impossibility of obtaining a visa legally. It is what has been termed the “global inequality trap of paper borders” (Van Houtum, Van Uden 2021, 20), a direct consequence of the invisible visa controlling system. This form of “tele-politics” (Ibid., 21) imposes visa-granting even before accessing the physical border, constituting a non-spectacular pre-bordering process, paradoxically at odds with the etymology of the term visa itself which, according to the Online Etymology Dictionary, coming from Latin VISUM, inherently involves visual control.</w:t>
      </w:r>
    </w:p>
    <w:p w14:paraId="047B9496" w14:textId="77777777" w:rsidR="00360419" w:rsidRDefault="00360419" w:rsidP="006461AD">
      <w:pPr>
        <w:spacing w:line="260" w:lineRule="exact"/>
        <w:ind w:firstLine="284"/>
        <w:jc w:val="both"/>
        <w:rPr>
          <w:rFonts w:ascii="Garamond" w:hAnsi="Garamond"/>
          <w:sz w:val="22"/>
          <w:szCs w:val="22"/>
          <w:lang w:val="en-US"/>
        </w:rPr>
      </w:pPr>
      <w:r w:rsidRPr="00360419">
        <w:rPr>
          <w:rFonts w:ascii="Garamond" w:hAnsi="Garamond"/>
          <w:sz w:val="22"/>
          <w:szCs w:val="22"/>
          <w:lang w:val="en-US"/>
        </w:rPr>
        <w:t>The national monopolisation of citizenship papers leading to the introduction of passports and the visa system originated in the early 20th century as provisional measures to regulate migration flows post-World War I (Torpey 2000). Notwithstanding, what were meant to be temporary instruments of bordering gradually turned the world into a “locked-in normality”, a process necessary to secure economic interests enabling various national and international institutions to halt, beat, detain, and violently push back people simply because they are not wealthy enough to get access granted in advance (Van Houtum, Van Uden 2021, 21). As Van Houtum and Van Uden remarked, paper borders prove indeed more effective than physical walls, serving as a geopolitical tool whose discriminative taxonomy is funded on untransparent criteria, much like the obscure standards determining a country’s inclusion in the visa-obliged or visa-free list (</w:t>
      </w:r>
      <w:r w:rsidRPr="00360419">
        <w:rPr>
          <w:rFonts w:ascii="Garamond" w:hAnsi="Garamond"/>
          <w:i/>
          <w:iCs/>
          <w:sz w:val="22"/>
          <w:szCs w:val="22"/>
          <w:lang w:val="da-DK"/>
        </w:rPr>
        <w:t>Ibidem</w:t>
      </w:r>
      <w:r w:rsidRPr="00360419">
        <w:rPr>
          <w:rFonts w:ascii="Garamond" w:hAnsi="Garamond"/>
          <w:sz w:val="22"/>
          <w:szCs w:val="22"/>
          <w:lang w:val="en-US"/>
        </w:rPr>
        <w:t>).</w:t>
      </w:r>
    </w:p>
    <w:p w14:paraId="6B37EE92" w14:textId="77777777" w:rsidR="0035761D" w:rsidRDefault="0035761D" w:rsidP="006461AD">
      <w:pPr>
        <w:ind w:firstLine="284"/>
        <w:jc w:val="both"/>
        <w:rPr>
          <w:rFonts w:ascii="Garamond" w:hAnsi="Garamond"/>
          <w:sz w:val="22"/>
          <w:szCs w:val="22"/>
          <w:lang w:val="en-US"/>
        </w:rPr>
      </w:pPr>
    </w:p>
    <w:p w14:paraId="2AF96EA0" w14:textId="77777777" w:rsidR="0035761D" w:rsidRDefault="0035761D" w:rsidP="006461AD">
      <w:pPr>
        <w:ind w:firstLine="284"/>
        <w:jc w:val="both"/>
        <w:rPr>
          <w:rFonts w:ascii="Garamond" w:hAnsi="Garamond"/>
          <w:sz w:val="22"/>
          <w:szCs w:val="22"/>
          <w:lang w:val="en-US"/>
        </w:rPr>
      </w:pPr>
    </w:p>
    <w:p w14:paraId="1F470E91" w14:textId="5BC8372C" w:rsidR="006461AD" w:rsidRPr="002225F7" w:rsidRDefault="006461AD" w:rsidP="006461AD">
      <w:pPr>
        <w:ind w:firstLine="284"/>
        <w:jc w:val="both"/>
        <w:rPr>
          <w:rFonts w:ascii="Garamond" w:hAnsi="Garamond"/>
          <w:smallCaps/>
          <w:sz w:val="20"/>
          <w:szCs w:val="20"/>
          <w:lang w:val="de-DE"/>
        </w:rPr>
      </w:pPr>
      <w:r w:rsidRPr="002225F7">
        <w:rPr>
          <w:rFonts w:ascii="Garamond" w:hAnsi="Garamond"/>
          <w:smallCaps/>
          <w:sz w:val="20"/>
          <w:szCs w:val="20"/>
          <w:lang w:val="de-DE"/>
        </w:rPr>
        <w:t>References</w:t>
      </w:r>
    </w:p>
    <w:p w14:paraId="51622974" w14:textId="77777777" w:rsidR="006461AD" w:rsidRPr="006461AD" w:rsidRDefault="006461AD" w:rsidP="006461AD">
      <w:pPr>
        <w:ind w:firstLine="284"/>
        <w:jc w:val="both"/>
        <w:rPr>
          <w:rFonts w:ascii="Garamond" w:hAnsi="Garamond"/>
          <w:sz w:val="20"/>
          <w:szCs w:val="20"/>
          <w:lang w:val="en-US"/>
        </w:rPr>
      </w:pPr>
    </w:p>
    <w:p w14:paraId="3DDD2733" w14:textId="77777777" w:rsidR="006461AD" w:rsidRPr="006461AD" w:rsidRDefault="006461AD" w:rsidP="00927DC3">
      <w:pPr>
        <w:ind w:left="284" w:hanging="284"/>
        <w:jc w:val="both"/>
        <w:rPr>
          <w:rFonts w:ascii="Garamond" w:hAnsi="Garamond"/>
          <w:sz w:val="18"/>
          <w:szCs w:val="18"/>
          <w:lang w:val="en-US"/>
        </w:rPr>
      </w:pPr>
      <w:r w:rsidRPr="006461AD">
        <w:rPr>
          <w:rFonts w:ascii="Garamond" w:hAnsi="Garamond"/>
          <w:sz w:val="18"/>
          <w:szCs w:val="18"/>
          <w:lang w:val="en-US"/>
        </w:rPr>
        <w:t xml:space="preserve">Arendt H. (1949). </w:t>
      </w:r>
      <w:r w:rsidRPr="006461AD">
        <w:rPr>
          <w:rFonts w:ascii="Garamond" w:hAnsi="Garamond"/>
          <w:i/>
          <w:iCs/>
          <w:sz w:val="18"/>
          <w:szCs w:val="18"/>
          <w:lang w:val="en-US"/>
        </w:rPr>
        <w:t>The Rights of Man: What Are They?</w:t>
      </w:r>
      <w:r w:rsidRPr="006461AD">
        <w:rPr>
          <w:rFonts w:ascii="Garamond" w:hAnsi="Garamond"/>
          <w:sz w:val="18"/>
          <w:szCs w:val="18"/>
          <w:lang w:val="en-US"/>
        </w:rPr>
        <w:t>, Modern Review</w:t>
      </w:r>
      <w:r w:rsidRPr="006461AD">
        <w:rPr>
          <w:rFonts w:ascii="Garamond" w:hAnsi="Garamond"/>
          <w:i/>
          <w:iCs/>
          <w:sz w:val="18"/>
          <w:szCs w:val="18"/>
          <w:rtl/>
          <w:lang w:val="pt-PT" w:bidi="ar-YE"/>
        </w:rPr>
        <w:t> </w:t>
      </w:r>
      <w:r w:rsidRPr="006461AD">
        <w:rPr>
          <w:rFonts w:ascii="Garamond" w:hAnsi="Garamond"/>
          <w:sz w:val="18"/>
          <w:szCs w:val="18"/>
          <w:lang w:val="en-US"/>
        </w:rPr>
        <w:t>3/1 (Summer 1949): 24-37.</w:t>
      </w:r>
    </w:p>
    <w:p w14:paraId="6835A41F" w14:textId="77777777" w:rsidR="006461AD" w:rsidRPr="006461AD" w:rsidRDefault="006461AD" w:rsidP="00927DC3">
      <w:pPr>
        <w:ind w:left="284" w:hanging="284"/>
        <w:jc w:val="both"/>
        <w:rPr>
          <w:rFonts w:ascii="Garamond" w:hAnsi="Garamond"/>
          <w:sz w:val="18"/>
          <w:szCs w:val="18"/>
          <w:lang w:val="en-US"/>
        </w:rPr>
      </w:pPr>
      <w:r w:rsidRPr="006461AD">
        <w:rPr>
          <w:rFonts w:ascii="Garamond" w:hAnsi="Garamond"/>
          <w:sz w:val="18"/>
          <w:szCs w:val="18"/>
          <w:lang w:val="en-US"/>
        </w:rPr>
        <w:t xml:space="preserve">Foucault M. (2007). </w:t>
      </w:r>
      <w:r w:rsidRPr="006461AD">
        <w:rPr>
          <w:rFonts w:ascii="Garamond" w:hAnsi="Garamond"/>
          <w:i/>
          <w:iCs/>
          <w:sz w:val="18"/>
          <w:szCs w:val="18"/>
          <w:lang w:val="en-US"/>
        </w:rPr>
        <w:t>Security, Territory, Population: Lectures at the College de France</w:t>
      </w:r>
      <w:r w:rsidRPr="006461AD">
        <w:rPr>
          <w:rFonts w:ascii="Garamond" w:hAnsi="Garamond"/>
          <w:sz w:val="18"/>
          <w:szCs w:val="18"/>
          <w:lang w:val="en-US"/>
        </w:rPr>
        <w:t>, 1977–1978, Basingstoke: Palgrave MacMillan.</w:t>
      </w:r>
    </w:p>
    <w:p w14:paraId="6CE615DF" w14:textId="77777777" w:rsidR="006461AD" w:rsidRPr="006461AD" w:rsidRDefault="006461AD" w:rsidP="00927DC3">
      <w:pPr>
        <w:ind w:left="284" w:hanging="284"/>
        <w:jc w:val="both"/>
        <w:rPr>
          <w:rFonts w:ascii="Garamond" w:hAnsi="Garamond"/>
          <w:sz w:val="18"/>
          <w:szCs w:val="18"/>
          <w:lang w:val="en-US"/>
        </w:rPr>
      </w:pPr>
      <w:r w:rsidRPr="006461AD">
        <w:rPr>
          <w:rFonts w:ascii="Garamond" w:hAnsi="Garamond"/>
          <w:sz w:val="18"/>
          <w:szCs w:val="18"/>
          <w:lang w:val="en-US"/>
        </w:rPr>
        <w:t>Gomez-Peña G. (1991). “Death on the Border. A Eulogy to Border Art”</w:t>
      </w:r>
      <w:r w:rsidRPr="006461AD">
        <w:rPr>
          <w:rFonts w:ascii="Garamond" w:hAnsi="Garamond"/>
          <w:i/>
          <w:iCs/>
          <w:sz w:val="18"/>
          <w:szCs w:val="18"/>
          <w:lang w:val="en-US"/>
        </w:rPr>
        <w:t>, High Performance</w:t>
      </w:r>
      <w:r w:rsidRPr="006461AD">
        <w:rPr>
          <w:rFonts w:ascii="Garamond" w:hAnsi="Garamond"/>
          <w:sz w:val="18"/>
          <w:szCs w:val="18"/>
          <w:lang w:val="en-US"/>
        </w:rPr>
        <w:t>, 55, 16(3).</w:t>
      </w:r>
    </w:p>
    <w:p w14:paraId="51E1F955" w14:textId="77777777" w:rsidR="006461AD" w:rsidRPr="006461AD" w:rsidRDefault="006461AD" w:rsidP="00927DC3">
      <w:pPr>
        <w:ind w:left="284" w:hanging="284"/>
        <w:jc w:val="both"/>
        <w:rPr>
          <w:rFonts w:ascii="Garamond" w:hAnsi="Garamond"/>
          <w:sz w:val="18"/>
          <w:szCs w:val="18"/>
          <w:lang w:val="de-DE"/>
        </w:rPr>
      </w:pPr>
      <w:r w:rsidRPr="006461AD">
        <w:rPr>
          <w:rFonts w:ascii="Garamond" w:hAnsi="Garamond"/>
          <w:sz w:val="18"/>
          <w:szCs w:val="18"/>
          <w:lang w:val="en-US"/>
        </w:rPr>
        <w:t xml:space="preserve">Grassegger H. (2023). </w:t>
      </w:r>
      <w:r w:rsidRPr="006461AD">
        <w:rPr>
          <w:rFonts w:ascii="Garamond" w:hAnsi="Garamond"/>
          <w:i/>
          <w:iCs/>
          <w:sz w:val="18"/>
          <w:szCs w:val="18"/>
          <w:lang w:val="en-US"/>
        </w:rPr>
        <w:t>The Man Who Knows No Boundaries</w:t>
      </w:r>
      <w:r w:rsidRPr="006461AD">
        <w:rPr>
          <w:rFonts w:ascii="Garamond" w:hAnsi="Garamond"/>
          <w:sz w:val="18"/>
          <w:szCs w:val="18"/>
          <w:lang w:val="de-DE"/>
        </w:rPr>
        <w:t>, Zurich: Das Magazin.</w:t>
      </w:r>
    </w:p>
    <w:p w14:paraId="65270C51" w14:textId="77777777" w:rsidR="006461AD" w:rsidRPr="006461AD" w:rsidRDefault="006461AD" w:rsidP="00927DC3">
      <w:pPr>
        <w:ind w:left="284" w:hanging="284"/>
        <w:jc w:val="both"/>
        <w:rPr>
          <w:rFonts w:ascii="Garamond" w:hAnsi="Garamond"/>
          <w:sz w:val="18"/>
          <w:szCs w:val="18"/>
          <w:lang w:val="en-US"/>
        </w:rPr>
      </w:pPr>
      <w:r w:rsidRPr="006461AD">
        <w:rPr>
          <w:rFonts w:ascii="Garamond" w:hAnsi="Garamond"/>
          <w:sz w:val="18"/>
          <w:szCs w:val="18"/>
          <w:lang w:val="en-US"/>
        </w:rPr>
        <w:t>Houtum H. Van (2010). “Human blacklisting: the global apartheid of the EU’</w:t>
      </w:r>
      <w:r w:rsidRPr="006461AD">
        <w:rPr>
          <w:rFonts w:ascii="Garamond" w:hAnsi="Garamond"/>
          <w:sz w:val="18"/>
          <w:szCs w:val="18"/>
          <w:lang w:val="pt-PT"/>
        </w:rPr>
        <w:t>s external border regime”</w:t>
      </w:r>
      <w:r w:rsidRPr="006461AD">
        <w:rPr>
          <w:rFonts w:ascii="Garamond" w:hAnsi="Garamond"/>
          <w:sz w:val="18"/>
          <w:szCs w:val="18"/>
          <w:lang w:val="en-US"/>
        </w:rPr>
        <w:t xml:space="preserve">, </w:t>
      </w:r>
      <w:r w:rsidRPr="006461AD">
        <w:rPr>
          <w:rFonts w:ascii="Garamond" w:hAnsi="Garamond"/>
          <w:i/>
          <w:iCs/>
          <w:sz w:val="18"/>
          <w:szCs w:val="18"/>
          <w:lang w:val="en-US"/>
        </w:rPr>
        <w:t>Environment and Planning D: Society and Space</w:t>
      </w:r>
      <w:r w:rsidRPr="006461AD">
        <w:rPr>
          <w:rFonts w:ascii="Garamond" w:hAnsi="Garamond"/>
          <w:sz w:val="18"/>
          <w:szCs w:val="18"/>
          <w:lang w:val="en-US"/>
        </w:rPr>
        <w:t>, 28(6): 957-976.</w:t>
      </w:r>
    </w:p>
    <w:p w14:paraId="2610627C" w14:textId="77777777" w:rsidR="006461AD" w:rsidRPr="006461AD" w:rsidRDefault="006461AD" w:rsidP="00927DC3">
      <w:pPr>
        <w:ind w:left="284" w:hanging="284"/>
        <w:jc w:val="both"/>
        <w:rPr>
          <w:rFonts w:ascii="Garamond" w:hAnsi="Garamond"/>
          <w:sz w:val="18"/>
          <w:szCs w:val="18"/>
          <w:lang w:val="en-US"/>
        </w:rPr>
      </w:pPr>
      <w:r w:rsidRPr="006461AD">
        <w:rPr>
          <w:rFonts w:ascii="Garamond" w:hAnsi="Garamond"/>
          <w:sz w:val="18"/>
          <w:szCs w:val="18"/>
          <w:lang w:val="en-US"/>
        </w:rPr>
        <w:t xml:space="preserve">Houtum H. Van, R. Bueno Lacy,  (2020), “The Autoimmunity of the EU’s Deadly B/ordering Regime; Overcoming its Paradoxical Paper, Iron and Camp Borders”, </w:t>
      </w:r>
      <w:r w:rsidRPr="006461AD">
        <w:rPr>
          <w:rFonts w:ascii="Garamond" w:hAnsi="Garamond"/>
          <w:i/>
          <w:iCs/>
          <w:sz w:val="18"/>
          <w:szCs w:val="18"/>
          <w:lang w:val="en-US"/>
        </w:rPr>
        <w:t>Geopolitics</w:t>
      </w:r>
      <w:r w:rsidRPr="006461AD">
        <w:rPr>
          <w:rFonts w:ascii="Garamond" w:hAnsi="Garamond"/>
          <w:sz w:val="18"/>
          <w:szCs w:val="18"/>
          <w:lang w:val="en-US"/>
        </w:rPr>
        <w:t>, 10, 706-733.</w:t>
      </w:r>
    </w:p>
    <w:p w14:paraId="2177C31B" w14:textId="14A4504E" w:rsidR="008D627F" w:rsidRDefault="006461AD" w:rsidP="00927DC3">
      <w:pPr>
        <w:ind w:left="284" w:hanging="284"/>
        <w:jc w:val="both"/>
        <w:rPr>
          <w:rFonts w:ascii="Garamond" w:hAnsi="Garamond"/>
          <w:sz w:val="18"/>
          <w:szCs w:val="18"/>
          <w:lang w:val="en-US"/>
        </w:rPr>
      </w:pPr>
      <w:r w:rsidRPr="006461AD">
        <w:rPr>
          <w:rFonts w:ascii="Garamond" w:hAnsi="Garamond"/>
          <w:sz w:val="18"/>
          <w:szCs w:val="18"/>
          <w:lang w:val="en-US"/>
        </w:rPr>
        <w:t xml:space="preserve">Houtum H. Van, A. Van Uden (2021). “The birth of the paper prison: the global inequality trap of visa borders”. </w:t>
      </w:r>
      <w:r w:rsidRPr="006461AD">
        <w:rPr>
          <w:rFonts w:ascii="Garamond" w:hAnsi="Garamond"/>
          <w:i/>
          <w:iCs/>
          <w:sz w:val="18"/>
          <w:szCs w:val="18"/>
          <w:lang w:val="en-US"/>
        </w:rPr>
        <w:t xml:space="preserve">Environment and Planning C. Politics and Spac: </w:t>
      </w:r>
      <w:r w:rsidRPr="006461AD">
        <w:rPr>
          <w:rFonts w:ascii="Garamond" w:hAnsi="Garamond"/>
          <w:sz w:val="18"/>
          <w:szCs w:val="18"/>
          <w:lang w:val="en-US"/>
        </w:rPr>
        <w:t>20-27.</w:t>
      </w:r>
    </w:p>
    <w:p w14:paraId="47DDAC70" w14:textId="77777777" w:rsidR="007A779A" w:rsidRDefault="007A779A" w:rsidP="007A779A">
      <w:pPr>
        <w:ind w:firstLine="284"/>
        <w:jc w:val="both"/>
        <w:rPr>
          <w:rFonts w:ascii="Garamond" w:hAnsi="Garamond"/>
          <w:sz w:val="18"/>
          <w:szCs w:val="18"/>
          <w:lang w:val="en-US"/>
        </w:rPr>
      </w:pPr>
    </w:p>
    <w:p w14:paraId="37EC0BBE" w14:textId="77777777" w:rsidR="007A779A" w:rsidRDefault="007A779A" w:rsidP="007A779A">
      <w:pPr>
        <w:ind w:firstLine="284"/>
        <w:jc w:val="both"/>
        <w:rPr>
          <w:rFonts w:ascii="Garamond" w:hAnsi="Garamond"/>
          <w:sz w:val="18"/>
          <w:szCs w:val="18"/>
          <w:lang w:val="en-US"/>
        </w:rPr>
      </w:pPr>
    </w:p>
    <w:p w14:paraId="7BA56A67" w14:textId="77777777" w:rsidR="007A779A" w:rsidRDefault="007A779A" w:rsidP="007A779A">
      <w:pPr>
        <w:ind w:firstLine="284"/>
        <w:jc w:val="both"/>
        <w:rPr>
          <w:rFonts w:ascii="Garamond" w:hAnsi="Garamond"/>
          <w:sz w:val="18"/>
          <w:szCs w:val="18"/>
          <w:lang w:val="en-US"/>
        </w:rPr>
      </w:pPr>
    </w:p>
    <w:p w14:paraId="7806A7A4" w14:textId="77777777" w:rsidR="007A779A" w:rsidRDefault="007A779A" w:rsidP="007A779A">
      <w:pPr>
        <w:ind w:firstLine="284"/>
        <w:jc w:val="both"/>
        <w:rPr>
          <w:rFonts w:ascii="Garamond" w:hAnsi="Garamond"/>
          <w:sz w:val="18"/>
          <w:szCs w:val="18"/>
          <w:lang w:val="en-US"/>
        </w:rPr>
      </w:pPr>
    </w:p>
    <w:p w14:paraId="4BFEE6C7" w14:textId="77777777" w:rsidR="007A779A" w:rsidRDefault="007A779A" w:rsidP="007A779A">
      <w:pPr>
        <w:ind w:firstLine="284"/>
        <w:jc w:val="both"/>
        <w:rPr>
          <w:rFonts w:ascii="Garamond" w:hAnsi="Garamond"/>
          <w:sz w:val="18"/>
          <w:szCs w:val="18"/>
          <w:lang w:val="en-US"/>
        </w:rPr>
      </w:pPr>
    </w:p>
    <w:p w14:paraId="45BD087F" w14:textId="77777777" w:rsidR="007A779A" w:rsidRDefault="007A779A" w:rsidP="007A779A">
      <w:pPr>
        <w:ind w:firstLine="284"/>
        <w:jc w:val="both"/>
        <w:rPr>
          <w:rFonts w:ascii="Garamond" w:hAnsi="Garamond"/>
          <w:sz w:val="18"/>
          <w:szCs w:val="18"/>
          <w:lang w:val="en-US"/>
        </w:rPr>
      </w:pPr>
    </w:p>
    <w:p w14:paraId="782A3CE1" w14:textId="77777777" w:rsidR="007A779A" w:rsidRDefault="007A779A" w:rsidP="007A779A">
      <w:pPr>
        <w:ind w:firstLine="284"/>
        <w:jc w:val="both"/>
        <w:rPr>
          <w:rFonts w:ascii="Garamond" w:hAnsi="Garamond"/>
          <w:sz w:val="18"/>
          <w:szCs w:val="18"/>
          <w:lang w:val="en-US"/>
        </w:rPr>
      </w:pPr>
    </w:p>
    <w:p w14:paraId="347B154D" w14:textId="77777777" w:rsidR="007A779A" w:rsidRDefault="007A779A" w:rsidP="007A779A">
      <w:pPr>
        <w:ind w:firstLine="284"/>
        <w:jc w:val="both"/>
        <w:rPr>
          <w:rFonts w:ascii="Garamond" w:hAnsi="Garamond"/>
          <w:sz w:val="18"/>
          <w:szCs w:val="18"/>
          <w:lang w:val="en-US"/>
        </w:rPr>
      </w:pPr>
    </w:p>
    <w:p w14:paraId="4DBF29AD" w14:textId="77777777" w:rsidR="007A779A" w:rsidRDefault="007A779A" w:rsidP="007A779A">
      <w:pPr>
        <w:ind w:firstLine="284"/>
        <w:jc w:val="both"/>
        <w:rPr>
          <w:rFonts w:ascii="Garamond" w:hAnsi="Garamond"/>
          <w:sz w:val="18"/>
          <w:szCs w:val="18"/>
          <w:lang w:val="en-US"/>
        </w:rPr>
      </w:pPr>
    </w:p>
    <w:p w14:paraId="7EAC7D35" w14:textId="77777777" w:rsidR="007A779A" w:rsidRDefault="007A779A" w:rsidP="007A779A">
      <w:pPr>
        <w:ind w:firstLine="284"/>
        <w:jc w:val="both"/>
        <w:rPr>
          <w:rFonts w:ascii="Garamond" w:hAnsi="Garamond"/>
          <w:sz w:val="18"/>
          <w:szCs w:val="18"/>
          <w:lang w:val="en-US"/>
        </w:rPr>
      </w:pPr>
    </w:p>
    <w:p w14:paraId="1D7F1488" w14:textId="77777777" w:rsidR="007A779A" w:rsidRDefault="007A779A" w:rsidP="007A779A">
      <w:pPr>
        <w:ind w:firstLine="284"/>
        <w:jc w:val="both"/>
        <w:rPr>
          <w:rFonts w:ascii="Garamond" w:hAnsi="Garamond"/>
          <w:sz w:val="18"/>
          <w:szCs w:val="18"/>
          <w:lang w:val="en-US"/>
        </w:rPr>
      </w:pPr>
    </w:p>
    <w:p w14:paraId="6A0A79FC" w14:textId="6AF272DC" w:rsidR="007A779A" w:rsidRPr="00E06C95" w:rsidRDefault="007A779A" w:rsidP="0031581F">
      <w:pPr>
        <w:jc w:val="both"/>
        <w:rPr>
          <w:rFonts w:ascii="Garamond" w:hAnsi="Garamond"/>
          <w:b/>
          <w:bCs/>
          <w:sz w:val="18"/>
          <w:szCs w:val="18"/>
        </w:rPr>
      </w:pPr>
      <w:r w:rsidRPr="00E06C95">
        <w:rPr>
          <w:rFonts w:ascii="Garamond" w:hAnsi="Garamond"/>
          <w:b/>
          <w:bCs/>
          <w:sz w:val="18"/>
          <w:szCs w:val="18"/>
        </w:rPr>
        <w:t>Scheda</w:t>
      </w:r>
      <w:r w:rsidR="00E05F12" w:rsidRPr="00E06C95">
        <w:rPr>
          <w:rFonts w:ascii="Garamond" w:hAnsi="Garamond"/>
          <w:b/>
          <w:bCs/>
          <w:sz w:val="18"/>
          <w:szCs w:val="18"/>
        </w:rPr>
        <w:t xml:space="preserve"> specifiche tecniche</w:t>
      </w:r>
      <w:r w:rsidR="00E06C95" w:rsidRPr="00E06C95">
        <w:rPr>
          <w:rFonts w:ascii="Garamond" w:hAnsi="Garamond"/>
          <w:b/>
          <w:bCs/>
          <w:sz w:val="18"/>
          <w:szCs w:val="18"/>
        </w:rPr>
        <w:t xml:space="preserve"> Collana M</w:t>
      </w:r>
      <w:r w:rsidR="00E06C95">
        <w:rPr>
          <w:rFonts w:ascii="Garamond" w:hAnsi="Garamond"/>
          <w:b/>
          <w:bCs/>
          <w:sz w:val="18"/>
          <w:szCs w:val="18"/>
        </w:rPr>
        <w:t>oMi</w:t>
      </w:r>
    </w:p>
    <w:p w14:paraId="2CFC1189" w14:textId="77777777" w:rsidR="007A779A" w:rsidRPr="00E06C95" w:rsidRDefault="007A779A" w:rsidP="0031581F">
      <w:pPr>
        <w:jc w:val="both"/>
        <w:rPr>
          <w:rFonts w:ascii="Garamond" w:hAnsi="Garamond"/>
          <w:sz w:val="18"/>
          <w:szCs w:val="18"/>
        </w:rPr>
      </w:pPr>
    </w:p>
    <w:p w14:paraId="5894E6B6" w14:textId="5D67D22B" w:rsidR="00291B21" w:rsidRDefault="007A779A" w:rsidP="001F2574">
      <w:pPr>
        <w:spacing w:line="260" w:lineRule="exact"/>
        <w:jc w:val="both"/>
        <w:rPr>
          <w:rFonts w:ascii="Garamond" w:hAnsi="Garamond"/>
          <w:sz w:val="18"/>
          <w:szCs w:val="18"/>
        </w:rPr>
      </w:pPr>
      <w:r w:rsidRPr="007A779A">
        <w:rPr>
          <w:rFonts w:ascii="Garamond" w:hAnsi="Garamond"/>
          <w:sz w:val="18"/>
          <w:szCs w:val="18"/>
        </w:rPr>
        <w:t>Form</w:t>
      </w:r>
      <w:r w:rsidR="006506D7">
        <w:rPr>
          <w:rFonts w:ascii="Garamond" w:hAnsi="Garamond"/>
          <w:sz w:val="18"/>
          <w:szCs w:val="18"/>
        </w:rPr>
        <w:t>a</w:t>
      </w:r>
      <w:r w:rsidRPr="007A779A">
        <w:rPr>
          <w:rFonts w:ascii="Garamond" w:hAnsi="Garamond"/>
          <w:sz w:val="18"/>
          <w:szCs w:val="18"/>
        </w:rPr>
        <w:t xml:space="preserve">to = </w:t>
      </w:r>
      <w:r w:rsidR="006506D7">
        <w:rPr>
          <w:rFonts w:ascii="Garamond" w:hAnsi="Garamond"/>
          <w:sz w:val="18"/>
          <w:szCs w:val="18"/>
        </w:rPr>
        <w:t>A4</w:t>
      </w:r>
      <w:r w:rsidR="0031581F">
        <w:rPr>
          <w:rFonts w:ascii="Garamond" w:hAnsi="Garamond"/>
          <w:sz w:val="18"/>
          <w:szCs w:val="18"/>
        </w:rPr>
        <w:t xml:space="preserve">, margini </w:t>
      </w:r>
      <w:r w:rsidR="00EE5FFD">
        <w:rPr>
          <w:rFonts w:ascii="Garamond" w:hAnsi="Garamond"/>
          <w:sz w:val="18"/>
          <w:szCs w:val="18"/>
        </w:rPr>
        <w:t>5,85</w:t>
      </w:r>
      <w:r w:rsidR="0031581F">
        <w:rPr>
          <w:rFonts w:ascii="Garamond" w:hAnsi="Garamond"/>
          <w:sz w:val="18"/>
          <w:szCs w:val="18"/>
        </w:rPr>
        <w:t xml:space="preserve"> superiore, </w:t>
      </w:r>
      <w:r w:rsidR="00EE5FFD">
        <w:rPr>
          <w:rFonts w:ascii="Garamond" w:hAnsi="Garamond"/>
          <w:sz w:val="18"/>
          <w:szCs w:val="18"/>
        </w:rPr>
        <w:t>5,85</w:t>
      </w:r>
      <w:r w:rsidR="0031581F">
        <w:rPr>
          <w:rFonts w:ascii="Garamond" w:hAnsi="Garamond"/>
          <w:sz w:val="18"/>
          <w:szCs w:val="18"/>
        </w:rPr>
        <w:t xml:space="preserve"> inferiore, </w:t>
      </w:r>
      <w:r w:rsidR="00767562">
        <w:rPr>
          <w:rFonts w:ascii="Garamond" w:hAnsi="Garamond"/>
          <w:sz w:val="18"/>
          <w:szCs w:val="18"/>
        </w:rPr>
        <w:t>4</w:t>
      </w:r>
      <w:r w:rsidR="0031581F">
        <w:rPr>
          <w:rFonts w:ascii="Garamond" w:hAnsi="Garamond"/>
          <w:sz w:val="18"/>
          <w:szCs w:val="18"/>
        </w:rPr>
        <w:t xml:space="preserve"> destro, </w:t>
      </w:r>
      <w:r w:rsidR="00767562">
        <w:rPr>
          <w:rFonts w:ascii="Garamond" w:hAnsi="Garamond"/>
          <w:sz w:val="18"/>
          <w:szCs w:val="18"/>
        </w:rPr>
        <w:t>4</w:t>
      </w:r>
      <w:r w:rsidR="0031581F">
        <w:rPr>
          <w:rFonts w:ascii="Garamond" w:hAnsi="Garamond"/>
          <w:sz w:val="18"/>
          <w:szCs w:val="18"/>
        </w:rPr>
        <w:t xml:space="preserve"> sinistro; </w:t>
      </w:r>
    </w:p>
    <w:p w14:paraId="582007C2" w14:textId="625484DB" w:rsidR="00F9039B" w:rsidRDefault="00F9039B" w:rsidP="001F2574">
      <w:pPr>
        <w:spacing w:line="260" w:lineRule="exact"/>
        <w:jc w:val="both"/>
        <w:rPr>
          <w:rFonts w:ascii="Garamond" w:hAnsi="Garamond"/>
          <w:sz w:val="18"/>
          <w:szCs w:val="18"/>
        </w:rPr>
      </w:pPr>
      <w:r>
        <w:rPr>
          <w:rFonts w:ascii="Garamond" w:hAnsi="Garamond"/>
          <w:sz w:val="18"/>
          <w:szCs w:val="18"/>
        </w:rPr>
        <w:t xml:space="preserve">Intestazione = </w:t>
      </w:r>
      <w:r w:rsidR="00767562">
        <w:rPr>
          <w:rFonts w:ascii="Garamond" w:hAnsi="Garamond"/>
          <w:sz w:val="18"/>
          <w:szCs w:val="18"/>
        </w:rPr>
        <w:t>4,35</w:t>
      </w:r>
    </w:p>
    <w:p w14:paraId="3CA794BE" w14:textId="368319C1" w:rsidR="00291B21" w:rsidRDefault="00291B21" w:rsidP="001F2574">
      <w:pPr>
        <w:spacing w:line="260" w:lineRule="exact"/>
        <w:jc w:val="both"/>
        <w:rPr>
          <w:rFonts w:ascii="Garamond" w:hAnsi="Garamond"/>
          <w:sz w:val="18"/>
          <w:szCs w:val="18"/>
        </w:rPr>
      </w:pPr>
      <w:r>
        <w:rPr>
          <w:rFonts w:ascii="Garamond" w:hAnsi="Garamond"/>
          <w:sz w:val="18"/>
          <w:szCs w:val="18"/>
        </w:rPr>
        <w:t>P</w:t>
      </w:r>
      <w:r w:rsidR="0031581F">
        <w:rPr>
          <w:rFonts w:ascii="Garamond" w:hAnsi="Garamond"/>
          <w:sz w:val="18"/>
          <w:szCs w:val="18"/>
        </w:rPr>
        <w:t xml:space="preserve">iè di pagina = </w:t>
      </w:r>
      <w:r w:rsidR="00767562">
        <w:rPr>
          <w:rFonts w:ascii="Garamond" w:hAnsi="Garamond"/>
          <w:sz w:val="18"/>
          <w:szCs w:val="18"/>
        </w:rPr>
        <w:t>4,47</w:t>
      </w:r>
    </w:p>
    <w:p w14:paraId="25F7A5B2" w14:textId="77777777" w:rsidR="0031581F" w:rsidRDefault="0031581F" w:rsidP="001F2574">
      <w:pPr>
        <w:spacing w:line="260" w:lineRule="exact"/>
        <w:jc w:val="both"/>
        <w:rPr>
          <w:rFonts w:ascii="Garamond" w:hAnsi="Garamond"/>
          <w:b/>
          <w:bCs/>
          <w:sz w:val="18"/>
          <w:szCs w:val="18"/>
        </w:rPr>
      </w:pPr>
    </w:p>
    <w:p w14:paraId="1C87A00E" w14:textId="7FC4A4E8" w:rsidR="00C54CFA" w:rsidRDefault="00C54CFA" w:rsidP="001F2574">
      <w:pPr>
        <w:spacing w:line="260" w:lineRule="exact"/>
        <w:jc w:val="both"/>
        <w:rPr>
          <w:rFonts w:ascii="Garamond" w:hAnsi="Garamond"/>
          <w:b/>
          <w:bCs/>
          <w:sz w:val="18"/>
          <w:szCs w:val="18"/>
        </w:rPr>
      </w:pPr>
      <w:r>
        <w:rPr>
          <w:rFonts w:ascii="Garamond" w:hAnsi="Garamond"/>
          <w:b/>
          <w:bCs/>
          <w:sz w:val="18"/>
          <w:szCs w:val="18"/>
        </w:rPr>
        <w:t>Font: Garamond</w:t>
      </w:r>
    </w:p>
    <w:p w14:paraId="19C6A566" w14:textId="77777777" w:rsidR="00C54CFA" w:rsidRDefault="00C54CFA" w:rsidP="001F2574">
      <w:pPr>
        <w:spacing w:line="260" w:lineRule="exact"/>
        <w:jc w:val="both"/>
        <w:rPr>
          <w:rFonts w:ascii="Garamond" w:hAnsi="Garamond"/>
          <w:b/>
          <w:bCs/>
          <w:sz w:val="18"/>
          <w:szCs w:val="18"/>
        </w:rPr>
      </w:pPr>
    </w:p>
    <w:p w14:paraId="752F261A" w14:textId="3822B146" w:rsidR="0031581F" w:rsidRPr="00822F02" w:rsidRDefault="0031581F" w:rsidP="001F2574">
      <w:pPr>
        <w:spacing w:line="260" w:lineRule="exact"/>
        <w:jc w:val="both"/>
        <w:rPr>
          <w:rFonts w:ascii="Garamond" w:hAnsi="Garamond"/>
          <w:i/>
          <w:iCs/>
          <w:sz w:val="18"/>
          <w:szCs w:val="18"/>
        </w:rPr>
      </w:pPr>
      <w:r w:rsidRPr="00822F02">
        <w:rPr>
          <w:rFonts w:ascii="Garamond" w:hAnsi="Garamond"/>
          <w:i/>
          <w:iCs/>
          <w:sz w:val="18"/>
          <w:szCs w:val="18"/>
        </w:rPr>
        <w:t>Testatine</w:t>
      </w:r>
      <w:r w:rsidRPr="00822F02">
        <w:rPr>
          <w:rFonts w:ascii="Garamond" w:hAnsi="Garamond"/>
          <w:i/>
          <w:iCs/>
          <w:sz w:val="18"/>
          <w:szCs w:val="18"/>
        </w:rPr>
        <w:tab/>
      </w:r>
    </w:p>
    <w:p w14:paraId="41C1D807" w14:textId="0AAE9D8B" w:rsidR="0031581F" w:rsidRDefault="0031581F" w:rsidP="001F2574">
      <w:pPr>
        <w:spacing w:line="260" w:lineRule="exact"/>
        <w:jc w:val="both"/>
        <w:rPr>
          <w:rFonts w:ascii="Garamond" w:hAnsi="Garamond"/>
          <w:sz w:val="18"/>
          <w:szCs w:val="18"/>
        </w:rPr>
      </w:pPr>
      <w:r>
        <w:rPr>
          <w:rFonts w:ascii="Garamond" w:hAnsi="Garamond"/>
          <w:sz w:val="18"/>
          <w:szCs w:val="18"/>
        </w:rPr>
        <w:t xml:space="preserve">Corpo testo testate = </w:t>
      </w:r>
      <w:r w:rsidR="00625040" w:rsidRPr="00DC4436">
        <w:rPr>
          <w:rFonts w:ascii="Garamond" w:hAnsi="Garamond"/>
          <w:sz w:val="18"/>
          <w:szCs w:val="18"/>
        </w:rPr>
        <w:t>Garamond</w:t>
      </w:r>
      <w:r w:rsidR="00625040">
        <w:rPr>
          <w:rFonts w:ascii="Garamond" w:hAnsi="Garamond"/>
          <w:sz w:val="18"/>
          <w:szCs w:val="18"/>
        </w:rPr>
        <w:t xml:space="preserve">, </w:t>
      </w:r>
      <w:r>
        <w:rPr>
          <w:rFonts w:ascii="Garamond" w:hAnsi="Garamond"/>
          <w:sz w:val="18"/>
          <w:szCs w:val="18"/>
        </w:rPr>
        <w:t>10 pt, diversi per pari e dispari</w:t>
      </w:r>
      <w:r w:rsidR="00C01ACE">
        <w:rPr>
          <w:rFonts w:ascii="Garamond" w:hAnsi="Garamond"/>
          <w:sz w:val="18"/>
          <w:szCs w:val="18"/>
        </w:rPr>
        <w:t xml:space="preserve"> e diversi per la prima pagina</w:t>
      </w:r>
    </w:p>
    <w:p w14:paraId="013516F6" w14:textId="51F2A962" w:rsidR="0031581F" w:rsidRDefault="0031581F" w:rsidP="001F2574">
      <w:pPr>
        <w:spacing w:line="260" w:lineRule="exact"/>
        <w:jc w:val="both"/>
        <w:rPr>
          <w:rFonts w:ascii="Garamond" w:hAnsi="Garamond"/>
          <w:sz w:val="18"/>
          <w:szCs w:val="18"/>
        </w:rPr>
      </w:pPr>
      <w:r>
        <w:rPr>
          <w:rFonts w:ascii="Garamond" w:hAnsi="Garamond"/>
          <w:sz w:val="18"/>
          <w:szCs w:val="18"/>
        </w:rPr>
        <w:t xml:space="preserve">Corpo numero di pagina = </w:t>
      </w:r>
      <w:r w:rsidR="00625040" w:rsidRPr="00DC4436">
        <w:rPr>
          <w:rFonts w:ascii="Garamond" w:hAnsi="Garamond"/>
          <w:sz w:val="18"/>
          <w:szCs w:val="18"/>
        </w:rPr>
        <w:t>Garamond</w:t>
      </w:r>
      <w:r w:rsidR="00625040">
        <w:rPr>
          <w:rFonts w:ascii="Garamond" w:hAnsi="Garamond"/>
          <w:sz w:val="18"/>
          <w:szCs w:val="18"/>
        </w:rPr>
        <w:t xml:space="preserve">, </w:t>
      </w:r>
      <w:r>
        <w:rPr>
          <w:rFonts w:ascii="Garamond" w:hAnsi="Garamond"/>
          <w:sz w:val="18"/>
          <w:szCs w:val="18"/>
        </w:rPr>
        <w:t>10 pt centrato</w:t>
      </w:r>
    </w:p>
    <w:p w14:paraId="67473BCA" w14:textId="77777777" w:rsidR="00822F02" w:rsidRDefault="00822F02" w:rsidP="001F2574">
      <w:pPr>
        <w:spacing w:line="260" w:lineRule="exact"/>
        <w:jc w:val="both"/>
        <w:rPr>
          <w:rFonts w:ascii="Garamond" w:hAnsi="Garamond"/>
          <w:sz w:val="18"/>
          <w:szCs w:val="18"/>
        </w:rPr>
      </w:pPr>
    </w:p>
    <w:p w14:paraId="03C1EC9E" w14:textId="51EA0F52" w:rsidR="007A779A" w:rsidRDefault="007A779A" w:rsidP="001F2574">
      <w:pPr>
        <w:spacing w:line="260" w:lineRule="exact"/>
        <w:jc w:val="both"/>
        <w:rPr>
          <w:rFonts w:ascii="Garamond" w:hAnsi="Garamond"/>
          <w:sz w:val="18"/>
          <w:szCs w:val="18"/>
        </w:rPr>
      </w:pPr>
      <w:r>
        <w:rPr>
          <w:rFonts w:ascii="Garamond" w:hAnsi="Garamond"/>
          <w:sz w:val="18"/>
          <w:szCs w:val="18"/>
        </w:rPr>
        <w:t>Corpo t</w:t>
      </w:r>
      <w:r w:rsidRPr="007A779A">
        <w:rPr>
          <w:rFonts w:ascii="Garamond" w:hAnsi="Garamond"/>
          <w:sz w:val="18"/>
          <w:szCs w:val="18"/>
        </w:rPr>
        <w:t xml:space="preserve">itolo = </w:t>
      </w:r>
      <w:r w:rsidRPr="00DC4436">
        <w:rPr>
          <w:rFonts w:ascii="Garamond" w:hAnsi="Garamond"/>
          <w:sz w:val="18"/>
          <w:szCs w:val="18"/>
        </w:rPr>
        <w:t>Garamond</w:t>
      </w:r>
      <w:r w:rsidRPr="007A779A">
        <w:rPr>
          <w:rFonts w:ascii="Garamond" w:hAnsi="Garamond"/>
          <w:sz w:val="18"/>
          <w:szCs w:val="18"/>
        </w:rPr>
        <w:t xml:space="preserve"> 16</w:t>
      </w:r>
      <w:r>
        <w:rPr>
          <w:rFonts w:ascii="Garamond" w:hAnsi="Garamond"/>
          <w:sz w:val="18"/>
          <w:szCs w:val="18"/>
        </w:rPr>
        <w:t xml:space="preserve"> pt</w:t>
      </w:r>
      <w:r w:rsidRPr="007A779A">
        <w:rPr>
          <w:rFonts w:ascii="Garamond" w:hAnsi="Garamond"/>
          <w:sz w:val="18"/>
          <w:szCs w:val="18"/>
        </w:rPr>
        <w:t xml:space="preserve"> su </w:t>
      </w:r>
      <w:r w:rsidR="00A15A9D">
        <w:rPr>
          <w:rFonts w:ascii="Garamond" w:hAnsi="Garamond"/>
          <w:sz w:val="18"/>
          <w:szCs w:val="18"/>
        </w:rPr>
        <w:t xml:space="preserve">esatta </w:t>
      </w:r>
      <w:r w:rsidRPr="007A779A">
        <w:rPr>
          <w:rFonts w:ascii="Garamond" w:hAnsi="Garamond"/>
          <w:sz w:val="18"/>
          <w:szCs w:val="18"/>
        </w:rPr>
        <w:t>18</w:t>
      </w:r>
      <w:r>
        <w:rPr>
          <w:rFonts w:ascii="Garamond" w:hAnsi="Garamond"/>
          <w:sz w:val="18"/>
          <w:szCs w:val="18"/>
        </w:rPr>
        <w:t xml:space="preserve"> pt</w:t>
      </w:r>
    </w:p>
    <w:p w14:paraId="6EFC1428" w14:textId="6BD71FB9" w:rsidR="007A779A" w:rsidRDefault="007A779A" w:rsidP="001F2574">
      <w:pPr>
        <w:spacing w:line="260" w:lineRule="exact"/>
        <w:jc w:val="both"/>
        <w:rPr>
          <w:rFonts w:ascii="Garamond" w:hAnsi="Garamond"/>
          <w:sz w:val="18"/>
          <w:szCs w:val="18"/>
        </w:rPr>
      </w:pPr>
      <w:r>
        <w:rPr>
          <w:rFonts w:ascii="Garamond" w:hAnsi="Garamond"/>
          <w:sz w:val="18"/>
          <w:szCs w:val="18"/>
        </w:rPr>
        <w:t>Corpo autori</w:t>
      </w:r>
      <w:r w:rsidRPr="007A779A">
        <w:rPr>
          <w:rFonts w:ascii="Garamond" w:hAnsi="Garamond"/>
          <w:sz w:val="18"/>
          <w:szCs w:val="18"/>
        </w:rPr>
        <w:t xml:space="preserve"> = </w:t>
      </w:r>
      <w:r w:rsidRPr="00DC4436">
        <w:rPr>
          <w:rFonts w:ascii="Garamond" w:hAnsi="Garamond"/>
          <w:sz w:val="18"/>
          <w:szCs w:val="18"/>
        </w:rPr>
        <w:t>Garamond</w:t>
      </w:r>
      <w:r w:rsidRPr="007A779A">
        <w:rPr>
          <w:rFonts w:ascii="Garamond" w:hAnsi="Garamond"/>
          <w:sz w:val="18"/>
          <w:szCs w:val="18"/>
        </w:rPr>
        <w:t xml:space="preserve"> 1</w:t>
      </w:r>
      <w:r>
        <w:rPr>
          <w:rFonts w:ascii="Garamond" w:hAnsi="Garamond"/>
          <w:sz w:val="18"/>
          <w:szCs w:val="18"/>
        </w:rPr>
        <w:t>2 pt</w:t>
      </w:r>
      <w:r w:rsidRPr="007A779A">
        <w:rPr>
          <w:rFonts w:ascii="Garamond" w:hAnsi="Garamond"/>
          <w:sz w:val="18"/>
          <w:szCs w:val="18"/>
        </w:rPr>
        <w:t xml:space="preserve"> </w:t>
      </w:r>
      <w:r>
        <w:rPr>
          <w:rFonts w:ascii="Garamond" w:hAnsi="Garamond"/>
          <w:sz w:val="18"/>
          <w:szCs w:val="18"/>
        </w:rPr>
        <w:t>singola</w:t>
      </w:r>
    </w:p>
    <w:p w14:paraId="1E990E66" w14:textId="2C263C75" w:rsidR="007A779A" w:rsidRDefault="007A779A" w:rsidP="001F2574">
      <w:pPr>
        <w:spacing w:line="260" w:lineRule="exact"/>
        <w:jc w:val="both"/>
        <w:rPr>
          <w:rFonts w:ascii="Garamond" w:hAnsi="Garamond"/>
          <w:sz w:val="18"/>
          <w:szCs w:val="18"/>
        </w:rPr>
      </w:pPr>
      <w:r>
        <w:rPr>
          <w:rFonts w:ascii="Garamond" w:hAnsi="Garamond"/>
          <w:sz w:val="18"/>
          <w:szCs w:val="18"/>
        </w:rPr>
        <w:t xml:space="preserve">Corpo qualifica autori = </w:t>
      </w:r>
      <w:r w:rsidRPr="00DC4436">
        <w:rPr>
          <w:rFonts w:ascii="Garamond" w:hAnsi="Garamond"/>
          <w:sz w:val="18"/>
          <w:szCs w:val="18"/>
        </w:rPr>
        <w:t>Garamond</w:t>
      </w:r>
      <w:r>
        <w:rPr>
          <w:rFonts w:ascii="Garamond" w:hAnsi="Garamond"/>
          <w:sz w:val="18"/>
          <w:szCs w:val="18"/>
        </w:rPr>
        <w:t xml:space="preserve"> 12 su </w:t>
      </w:r>
      <w:r w:rsidR="00A15A9D">
        <w:rPr>
          <w:rFonts w:ascii="Garamond" w:hAnsi="Garamond"/>
          <w:sz w:val="18"/>
          <w:szCs w:val="18"/>
        </w:rPr>
        <w:t xml:space="preserve">esatta </w:t>
      </w:r>
      <w:r>
        <w:rPr>
          <w:rFonts w:ascii="Garamond" w:hAnsi="Garamond"/>
          <w:sz w:val="18"/>
          <w:szCs w:val="18"/>
        </w:rPr>
        <w:t>13 pt</w:t>
      </w:r>
    </w:p>
    <w:p w14:paraId="7D7829A5" w14:textId="272FEB7E" w:rsidR="007A779A" w:rsidRDefault="007A779A" w:rsidP="001F2574">
      <w:pPr>
        <w:spacing w:line="260" w:lineRule="exact"/>
        <w:jc w:val="both"/>
        <w:rPr>
          <w:rFonts w:ascii="Garamond" w:hAnsi="Garamond"/>
          <w:sz w:val="18"/>
          <w:szCs w:val="18"/>
        </w:rPr>
      </w:pPr>
      <w:r>
        <w:rPr>
          <w:rFonts w:ascii="Garamond" w:hAnsi="Garamond"/>
          <w:sz w:val="18"/>
          <w:szCs w:val="18"/>
        </w:rPr>
        <w:t xml:space="preserve">Corpo titolo abstract = </w:t>
      </w:r>
      <w:r w:rsidRPr="00DC4436">
        <w:rPr>
          <w:rFonts w:ascii="Garamond" w:hAnsi="Garamond"/>
          <w:sz w:val="18"/>
          <w:szCs w:val="18"/>
        </w:rPr>
        <w:t>Garamond</w:t>
      </w:r>
      <w:r>
        <w:rPr>
          <w:rFonts w:ascii="Garamond" w:hAnsi="Garamond"/>
          <w:sz w:val="18"/>
          <w:szCs w:val="18"/>
        </w:rPr>
        <w:t xml:space="preserve"> 9 su </w:t>
      </w:r>
      <w:r w:rsidR="00A15A9D">
        <w:rPr>
          <w:rFonts w:ascii="Garamond" w:hAnsi="Garamond"/>
          <w:sz w:val="18"/>
          <w:szCs w:val="18"/>
        </w:rPr>
        <w:t xml:space="preserve">esatta </w:t>
      </w:r>
      <w:r>
        <w:rPr>
          <w:rFonts w:ascii="Garamond" w:hAnsi="Garamond"/>
          <w:sz w:val="18"/>
          <w:szCs w:val="18"/>
        </w:rPr>
        <w:t xml:space="preserve">11 pt, rientro 0,5 </w:t>
      </w:r>
      <w:r w:rsidR="00C14875">
        <w:rPr>
          <w:rFonts w:ascii="Garamond" w:hAnsi="Garamond"/>
          <w:sz w:val="18"/>
          <w:szCs w:val="18"/>
        </w:rPr>
        <w:t>cm</w:t>
      </w:r>
      <w:r>
        <w:rPr>
          <w:rFonts w:ascii="Garamond" w:hAnsi="Garamond"/>
          <w:sz w:val="18"/>
          <w:szCs w:val="18"/>
        </w:rPr>
        <w:t>, rientro 0,5</w:t>
      </w:r>
      <w:r w:rsidR="00C14875">
        <w:rPr>
          <w:rFonts w:ascii="Garamond" w:hAnsi="Garamond"/>
          <w:sz w:val="18"/>
          <w:szCs w:val="18"/>
        </w:rPr>
        <w:t xml:space="preserve"> cm</w:t>
      </w:r>
      <w:r>
        <w:rPr>
          <w:rFonts w:ascii="Garamond" w:hAnsi="Garamond"/>
          <w:sz w:val="18"/>
          <w:szCs w:val="18"/>
        </w:rPr>
        <w:t>, maiuscoletto</w:t>
      </w:r>
    </w:p>
    <w:p w14:paraId="2F171809" w14:textId="6964FCFB" w:rsidR="007A779A" w:rsidRPr="007A779A" w:rsidRDefault="007A779A" w:rsidP="001F2574">
      <w:pPr>
        <w:spacing w:line="260" w:lineRule="exact"/>
        <w:jc w:val="both"/>
        <w:rPr>
          <w:rFonts w:ascii="Garamond" w:hAnsi="Garamond"/>
          <w:sz w:val="18"/>
          <w:szCs w:val="18"/>
        </w:rPr>
      </w:pPr>
      <w:r>
        <w:rPr>
          <w:rFonts w:ascii="Garamond" w:hAnsi="Garamond"/>
          <w:sz w:val="18"/>
          <w:szCs w:val="18"/>
        </w:rPr>
        <w:t xml:space="preserve">Corpo </w:t>
      </w:r>
      <w:r w:rsidR="00400406">
        <w:rPr>
          <w:rFonts w:ascii="Garamond" w:hAnsi="Garamond"/>
          <w:sz w:val="18"/>
          <w:szCs w:val="18"/>
        </w:rPr>
        <w:t xml:space="preserve">testo </w:t>
      </w:r>
      <w:r>
        <w:rPr>
          <w:rFonts w:ascii="Garamond" w:hAnsi="Garamond"/>
          <w:sz w:val="18"/>
          <w:szCs w:val="18"/>
        </w:rPr>
        <w:t xml:space="preserve">abstract = </w:t>
      </w:r>
      <w:r w:rsidRPr="00DC4436">
        <w:rPr>
          <w:rFonts w:ascii="Garamond" w:hAnsi="Garamond"/>
          <w:sz w:val="18"/>
          <w:szCs w:val="18"/>
        </w:rPr>
        <w:t>Garamond</w:t>
      </w:r>
      <w:r>
        <w:rPr>
          <w:rFonts w:ascii="Garamond" w:hAnsi="Garamond"/>
          <w:sz w:val="18"/>
          <w:szCs w:val="18"/>
        </w:rPr>
        <w:t xml:space="preserve"> 9 su </w:t>
      </w:r>
      <w:r w:rsidR="00A15A9D">
        <w:rPr>
          <w:rFonts w:ascii="Garamond" w:hAnsi="Garamond"/>
          <w:sz w:val="18"/>
          <w:szCs w:val="18"/>
        </w:rPr>
        <w:t xml:space="preserve">esatta </w:t>
      </w:r>
      <w:r>
        <w:rPr>
          <w:rFonts w:ascii="Garamond" w:hAnsi="Garamond"/>
          <w:sz w:val="18"/>
          <w:szCs w:val="18"/>
        </w:rPr>
        <w:t xml:space="preserve">11 pt, rientro 0,5 </w:t>
      </w:r>
      <w:r w:rsidR="00C14875">
        <w:rPr>
          <w:rFonts w:ascii="Garamond" w:hAnsi="Garamond"/>
          <w:sz w:val="18"/>
          <w:szCs w:val="18"/>
        </w:rPr>
        <w:t>cm</w:t>
      </w:r>
    </w:p>
    <w:p w14:paraId="6B7E3C08" w14:textId="71C7A632" w:rsidR="007A779A" w:rsidRDefault="007A779A" w:rsidP="001F2574">
      <w:pPr>
        <w:spacing w:line="260" w:lineRule="exact"/>
        <w:jc w:val="both"/>
        <w:rPr>
          <w:rFonts w:ascii="Garamond" w:hAnsi="Garamond"/>
          <w:sz w:val="18"/>
          <w:szCs w:val="18"/>
        </w:rPr>
      </w:pPr>
      <w:r>
        <w:rPr>
          <w:rFonts w:ascii="Garamond" w:hAnsi="Garamond"/>
          <w:sz w:val="18"/>
          <w:szCs w:val="18"/>
        </w:rPr>
        <w:t xml:space="preserve">Corpo titolo paragrafo = </w:t>
      </w:r>
      <w:r w:rsidRPr="00DC4436">
        <w:rPr>
          <w:rFonts w:ascii="Garamond" w:hAnsi="Garamond"/>
          <w:sz w:val="18"/>
          <w:szCs w:val="18"/>
        </w:rPr>
        <w:t>Garamond</w:t>
      </w:r>
      <w:r>
        <w:rPr>
          <w:rFonts w:ascii="Garamond" w:hAnsi="Garamond"/>
          <w:sz w:val="18"/>
          <w:szCs w:val="18"/>
        </w:rPr>
        <w:t xml:space="preserve"> 11 su </w:t>
      </w:r>
      <w:r w:rsidR="00A15A9D">
        <w:rPr>
          <w:rFonts w:ascii="Garamond" w:hAnsi="Garamond"/>
          <w:sz w:val="18"/>
          <w:szCs w:val="18"/>
        </w:rPr>
        <w:t xml:space="preserve">esatta </w:t>
      </w:r>
      <w:r>
        <w:rPr>
          <w:rFonts w:ascii="Garamond" w:hAnsi="Garamond"/>
          <w:sz w:val="18"/>
          <w:szCs w:val="18"/>
        </w:rPr>
        <w:t xml:space="preserve">13 pt, rientro 0,5 </w:t>
      </w:r>
      <w:r w:rsidR="00C14875">
        <w:rPr>
          <w:rFonts w:ascii="Garamond" w:hAnsi="Garamond"/>
          <w:sz w:val="18"/>
          <w:szCs w:val="18"/>
        </w:rPr>
        <w:t>cm</w:t>
      </w:r>
      <w:r>
        <w:rPr>
          <w:rFonts w:ascii="Garamond" w:hAnsi="Garamond"/>
          <w:sz w:val="18"/>
          <w:szCs w:val="18"/>
        </w:rPr>
        <w:t>, maiuscoletto</w:t>
      </w:r>
      <w:r w:rsidR="00E0042C">
        <w:rPr>
          <w:rFonts w:ascii="Garamond" w:hAnsi="Garamond"/>
          <w:sz w:val="18"/>
          <w:szCs w:val="18"/>
        </w:rPr>
        <w:t>, doppio spazio</w:t>
      </w:r>
    </w:p>
    <w:p w14:paraId="6B559926" w14:textId="2822DD8B" w:rsidR="007A779A" w:rsidRDefault="007A779A" w:rsidP="001F2574">
      <w:pPr>
        <w:spacing w:line="260" w:lineRule="exact"/>
        <w:jc w:val="both"/>
        <w:rPr>
          <w:rFonts w:ascii="Garamond" w:hAnsi="Garamond"/>
          <w:sz w:val="18"/>
          <w:szCs w:val="18"/>
        </w:rPr>
      </w:pPr>
      <w:r>
        <w:rPr>
          <w:rFonts w:ascii="Garamond" w:hAnsi="Garamond"/>
          <w:sz w:val="18"/>
          <w:szCs w:val="18"/>
        </w:rPr>
        <w:t xml:space="preserve">Corpo testo = </w:t>
      </w:r>
      <w:r w:rsidRPr="00DC4436">
        <w:rPr>
          <w:rFonts w:ascii="Garamond" w:hAnsi="Garamond"/>
          <w:sz w:val="18"/>
          <w:szCs w:val="18"/>
        </w:rPr>
        <w:t>Garamond</w:t>
      </w:r>
      <w:r>
        <w:rPr>
          <w:rFonts w:ascii="Garamond" w:hAnsi="Garamond"/>
          <w:sz w:val="18"/>
          <w:szCs w:val="18"/>
        </w:rPr>
        <w:t xml:space="preserve"> 11 su 13 pt, rientro 0,5 </w:t>
      </w:r>
      <w:r w:rsidR="00C14875">
        <w:rPr>
          <w:rFonts w:ascii="Garamond" w:hAnsi="Garamond"/>
          <w:sz w:val="18"/>
          <w:szCs w:val="18"/>
        </w:rPr>
        <w:t>cm</w:t>
      </w:r>
    </w:p>
    <w:p w14:paraId="5E1D4F16" w14:textId="72F75AF8" w:rsidR="005568B2" w:rsidRDefault="005568B2" w:rsidP="001F2574">
      <w:pPr>
        <w:spacing w:line="260" w:lineRule="exact"/>
        <w:jc w:val="both"/>
        <w:rPr>
          <w:rFonts w:ascii="Garamond" w:hAnsi="Garamond"/>
          <w:sz w:val="18"/>
          <w:szCs w:val="18"/>
        </w:rPr>
      </w:pPr>
      <w:r>
        <w:rPr>
          <w:rFonts w:ascii="Garamond" w:hAnsi="Garamond"/>
          <w:sz w:val="18"/>
          <w:szCs w:val="18"/>
        </w:rPr>
        <w:t>Corpo testo citazioni = destro e sinistro 1 cm corpo 10 pt su esatta 12 pt, spazio prima e dopo</w:t>
      </w:r>
    </w:p>
    <w:p w14:paraId="45D6DB65" w14:textId="6307B5D7" w:rsidR="00A32BB3" w:rsidRDefault="00A32BB3" w:rsidP="001F2574">
      <w:pPr>
        <w:spacing w:line="260" w:lineRule="exact"/>
        <w:jc w:val="both"/>
        <w:rPr>
          <w:rFonts w:ascii="Garamond" w:hAnsi="Garamond"/>
          <w:sz w:val="18"/>
          <w:szCs w:val="18"/>
        </w:rPr>
      </w:pPr>
      <w:r>
        <w:rPr>
          <w:rFonts w:ascii="Garamond" w:hAnsi="Garamond"/>
          <w:sz w:val="18"/>
          <w:szCs w:val="18"/>
        </w:rPr>
        <w:t xml:space="preserve">Corpo note = </w:t>
      </w:r>
      <w:r w:rsidRPr="00DC4436">
        <w:rPr>
          <w:rFonts w:ascii="Garamond" w:hAnsi="Garamond"/>
          <w:sz w:val="18"/>
          <w:szCs w:val="18"/>
        </w:rPr>
        <w:t>Garamond</w:t>
      </w:r>
      <w:r>
        <w:rPr>
          <w:rFonts w:ascii="Garamond" w:hAnsi="Garamond"/>
          <w:sz w:val="18"/>
          <w:szCs w:val="18"/>
        </w:rPr>
        <w:t xml:space="preserve"> 9 pt su automatico</w:t>
      </w:r>
    </w:p>
    <w:p w14:paraId="5D32D6FF" w14:textId="77777777" w:rsidR="002C7A5E" w:rsidRDefault="002C7A5E" w:rsidP="001F2574">
      <w:pPr>
        <w:spacing w:line="260" w:lineRule="exact"/>
        <w:jc w:val="both"/>
        <w:rPr>
          <w:rFonts w:ascii="Garamond" w:hAnsi="Garamond"/>
          <w:sz w:val="18"/>
          <w:szCs w:val="18"/>
        </w:rPr>
      </w:pPr>
    </w:p>
    <w:p w14:paraId="74BF58C4" w14:textId="41F3BF87" w:rsidR="002C7A5E" w:rsidRPr="00C3600E" w:rsidRDefault="002C7A5E" w:rsidP="001F2574">
      <w:pPr>
        <w:spacing w:line="260" w:lineRule="exact"/>
        <w:jc w:val="both"/>
        <w:rPr>
          <w:rFonts w:ascii="Garamond" w:hAnsi="Garamond"/>
          <w:i/>
          <w:iCs/>
          <w:sz w:val="18"/>
          <w:szCs w:val="18"/>
        </w:rPr>
      </w:pPr>
      <w:r w:rsidRPr="00C3600E">
        <w:rPr>
          <w:rFonts w:ascii="Garamond" w:hAnsi="Garamond"/>
          <w:i/>
          <w:iCs/>
          <w:sz w:val="18"/>
          <w:szCs w:val="18"/>
        </w:rPr>
        <w:t>Bilbliografia</w:t>
      </w:r>
    </w:p>
    <w:p w14:paraId="5A7E71A4" w14:textId="0953D95D" w:rsidR="002C7A5E" w:rsidRDefault="002C7A5E" w:rsidP="001F2574">
      <w:pPr>
        <w:spacing w:line="260" w:lineRule="exact"/>
        <w:jc w:val="both"/>
        <w:rPr>
          <w:rFonts w:ascii="Garamond" w:hAnsi="Garamond"/>
          <w:sz w:val="18"/>
          <w:szCs w:val="18"/>
        </w:rPr>
      </w:pPr>
      <w:r>
        <w:rPr>
          <w:rFonts w:ascii="Garamond" w:hAnsi="Garamond"/>
          <w:sz w:val="18"/>
          <w:szCs w:val="18"/>
        </w:rPr>
        <w:t xml:space="preserve">Corpo titolo bibliografia = Garamond 11 pt su esatta 13 pt, rientro 0,5 </w:t>
      </w:r>
      <w:r w:rsidR="00C14875">
        <w:rPr>
          <w:rFonts w:ascii="Garamond" w:hAnsi="Garamond"/>
          <w:sz w:val="18"/>
          <w:szCs w:val="18"/>
        </w:rPr>
        <w:t>cm</w:t>
      </w:r>
    </w:p>
    <w:p w14:paraId="11EB841C" w14:textId="51AAEF5B" w:rsidR="00927DC3" w:rsidRDefault="00927DC3" w:rsidP="001F2574">
      <w:pPr>
        <w:spacing w:line="260" w:lineRule="exact"/>
        <w:jc w:val="both"/>
        <w:rPr>
          <w:rFonts w:ascii="Garamond" w:hAnsi="Garamond"/>
          <w:sz w:val="18"/>
          <w:szCs w:val="18"/>
        </w:rPr>
      </w:pPr>
      <w:r>
        <w:rPr>
          <w:rFonts w:ascii="Garamond" w:hAnsi="Garamond"/>
          <w:sz w:val="18"/>
          <w:szCs w:val="18"/>
        </w:rPr>
        <w:t xml:space="preserve">Corpo bibliografia = </w:t>
      </w:r>
      <w:r w:rsidRPr="00DC4436">
        <w:rPr>
          <w:rFonts w:ascii="Garamond" w:hAnsi="Garamond"/>
          <w:sz w:val="18"/>
          <w:szCs w:val="18"/>
        </w:rPr>
        <w:t>Garamond</w:t>
      </w:r>
      <w:r>
        <w:rPr>
          <w:rFonts w:ascii="Garamond" w:hAnsi="Garamond"/>
          <w:sz w:val="18"/>
          <w:szCs w:val="18"/>
        </w:rPr>
        <w:t xml:space="preserve"> 9 pt su automatico, </w:t>
      </w:r>
      <w:r w:rsidR="003C4C23">
        <w:rPr>
          <w:rFonts w:ascii="Garamond" w:hAnsi="Garamond"/>
          <w:b/>
          <w:bCs/>
          <w:sz w:val="18"/>
          <w:szCs w:val="18"/>
        </w:rPr>
        <w:t xml:space="preserve">SPECIALE </w:t>
      </w:r>
      <w:r w:rsidR="003C4C23" w:rsidRPr="003C4C23">
        <w:rPr>
          <w:rFonts w:ascii="Garamond" w:hAnsi="Garamond"/>
          <w:sz w:val="18"/>
          <w:szCs w:val="18"/>
        </w:rPr>
        <w:t>=</w:t>
      </w:r>
      <w:r>
        <w:rPr>
          <w:rFonts w:ascii="Garamond" w:hAnsi="Garamond"/>
          <w:sz w:val="18"/>
          <w:szCs w:val="18"/>
        </w:rPr>
        <w:t xml:space="preserve"> sporgente</w:t>
      </w:r>
      <w:r w:rsidR="003C4C23">
        <w:rPr>
          <w:rFonts w:ascii="Garamond" w:hAnsi="Garamond"/>
          <w:sz w:val="18"/>
          <w:szCs w:val="18"/>
        </w:rPr>
        <w:t>, rientra di =</w:t>
      </w:r>
      <w:r>
        <w:rPr>
          <w:rFonts w:ascii="Garamond" w:hAnsi="Garamond"/>
          <w:sz w:val="18"/>
          <w:szCs w:val="18"/>
        </w:rPr>
        <w:t xml:space="preserve"> 0,5 </w:t>
      </w:r>
      <w:r w:rsidR="00C14875">
        <w:rPr>
          <w:rFonts w:ascii="Garamond" w:hAnsi="Garamond"/>
          <w:sz w:val="18"/>
          <w:szCs w:val="18"/>
        </w:rPr>
        <w:t>cm</w:t>
      </w:r>
    </w:p>
    <w:p w14:paraId="3258441D" w14:textId="77777777" w:rsidR="00CA6C2A" w:rsidRDefault="00CA6C2A" w:rsidP="001F2574">
      <w:pPr>
        <w:spacing w:line="260" w:lineRule="exact"/>
        <w:jc w:val="both"/>
        <w:rPr>
          <w:rFonts w:ascii="Garamond" w:hAnsi="Garamond"/>
          <w:sz w:val="18"/>
          <w:szCs w:val="18"/>
        </w:rPr>
      </w:pPr>
    </w:p>
    <w:p w14:paraId="2DC41599" w14:textId="77777777" w:rsidR="00CD1261" w:rsidRDefault="00CA6C2A" w:rsidP="001F2574">
      <w:pPr>
        <w:spacing w:line="260" w:lineRule="exact"/>
        <w:jc w:val="both"/>
        <w:rPr>
          <w:rFonts w:ascii="Garamond" w:hAnsi="Garamond"/>
          <w:sz w:val="18"/>
          <w:szCs w:val="18"/>
        </w:rPr>
      </w:pPr>
      <w:r>
        <w:rPr>
          <w:rFonts w:ascii="Garamond" w:hAnsi="Garamond"/>
          <w:sz w:val="18"/>
          <w:szCs w:val="18"/>
        </w:rPr>
        <w:t>Figu</w:t>
      </w:r>
      <w:r w:rsidR="00BE3999">
        <w:rPr>
          <w:rFonts w:ascii="Garamond" w:hAnsi="Garamond"/>
          <w:sz w:val="18"/>
          <w:szCs w:val="18"/>
        </w:rPr>
        <w:t>r</w:t>
      </w:r>
      <w:r>
        <w:rPr>
          <w:rFonts w:ascii="Garamond" w:hAnsi="Garamond"/>
          <w:sz w:val="18"/>
          <w:szCs w:val="18"/>
        </w:rPr>
        <w:t xml:space="preserve">e = </w:t>
      </w:r>
      <w:r w:rsidRPr="00DC4436">
        <w:rPr>
          <w:rFonts w:ascii="Garamond" w:hAnsi="Garamond"/>
          <w:sz w:val="18"/>
          <w:szCs w:val="18"/>
        </w:rPr>
        <w:t>Garamond</w:t>
      </w:r>
      <w:r>
        <w:rPr>
          <w:rFonts w:ascii="Garamond" w:hAnsi="Garamond"/>
          <w:sz w:val="18"/>
          <w:szCs w:val="18"/>
        </w:rPr>
        <w:t xml:space="preserve"> 10 pt su esatta 12 pt</w:t>
      </w:r>
      <w:r w:rsidR="00BE3999">
        <w:rPr>
          <w:rFonts w:ascii="Garamond" w:hAnsi="Garamond"/>
          <w:sz w:val="18"/>
          <w:szCs w:val="18"/>
        </w:rPr>
        <w:t xml:space="preserve">, numerazione </w:t>
      </w:r>
    </w:p>
    <w:p w14:paraId="66F7F435" w14:textId="3A967B27" w:rsidR="00CA6C2A" w:rsidRDefault="00CD1261" w:rsidP="00CD1261">
      <w:pPr>
        <w:spacing w:line="260" w:lineRule="exact"/>
        <w:ind w:firstLine="708"/>
        <w:jc w:val="both"/>
        <w:rPr>
          <w:rFonts w:ascii="Garamond" w:hAnsi="Garamond"/>
          <w:sz w:val="18"/>
          <w:szCs w:val="18"/>
        </w:rPr>
      </w:pPr>
      <w:r>
        <w:rPr>
          <w:rFonts w:ascii="Garamond" w:hAnsi="Garamond"/>
          <w:sz w:val="18"/>
          <w:szCs w:val="18"/>
        </w:rPr>
        <w:t xml:space="preserve">Es.: </w:t>
      </w:r>
      <w:r w:rsidR="00BE3999">
        <w:rPr>
          <w:rFonts w:ascii="Garamond" w:hAnsi="Garamond"/>
          <w:sz w:val="18"/>
          <w:szCs w:val="18"/>
        </w:rPr>
        <w:t xml:space="preserve">Fig. 1. – </w:t>
      </w:r>
      <w:r w:rsidR="00B853C0">
        <w:rPr>
          <w:rFonts w:ascii="Garamond" w:hAnsi="Garamond"/>
          <w:sz w:val="18"/>
          <w:szCs w:val="18"/>
        </w:rPr>
        <w:t>T</w:t>
      </w:r>
      <w:r w:rsidR="00BE3999">
        <w:rPr>
          <w:rFonts w:ascii="Garamond" w:hAnsi="Garamond"/>
          <w:sz w:val="18"/>
          <w:szCs w:val="18"/>
        </w:rPr>
        <w:t>esto testo testo testo.</w:t>
      </w:r>
    </w:p>
    <w:p w14:paraId="0975139E" w14:textId="77777777" w:rsidR="007A779A" w:rsidRDefault="007A779A" w:rsidP="007A779A">
      <w:pPr>
        <w:ind w:firstLine="284"/>
        <w:jc w:val="both"/>
        <w:rPr>
          <w:rFonts w:ascii="Garamond" w:hAnsi="Garamond"/>
          <w:sz w:val="18"/>
          <w:szCs w:val="18"/>
        </w:rPr>
      </w:pPr>
    </w:p>
    <w:p w14:paraId="2015D42B" w14:textId="77777777" w:rsidR="004F1E6B" w:rsidRDefault="004F1E6B" w:rsidP="007A779A">
      <w:pPr>
        <w:ind w:firstLine="284"/>
        <w:jc w:val="both"/>
        <w:rPr>
          <w:rFonts w:ascii="Garamond" w:hAnsi="Garamond"/>
          <w:sz w:val="18"/>
          <w:szCs w:val="18"/>
        </w:rPr>
      </w:pPr>
    </w:p>
    <w:p w14:paraId="274A5768" w14:textId="77777777" w:rsidR="001D0491" w:rsidRDefault="001D0491" w:rsidP="004F1E6B">
      <w:pPr>
        <w:ind w:firstLine="284"/>
        <w:jc w:val="both"/>
        <w:rPr>
          <w:rFonts w:ascii="Garamond" w:hAnsi="Garamond"/>
          <w:sz w:val="18"/>
          <w:szCs w:val="18"/>
        </w:rPr>
      </w:pPr>
    </w:p>
    <w:p w14:paraId="4F89BE95" w14:textId="77777777" w:rsidR="001D0491" w:rsidRDefault="001D0491" w:rsidP="004F1E6B">
      <w:pPr>
        <w:ind w:firstLine="284"/>
        <w:jc w:val="both"/>
        <w:rPr>
          <w:rFonts w:ascii="Garamond" w:hAnsi="Garamond"/>
          <w:sz w:val="18"/>
          <w:szCs w:val="18"/>
        </w:rPr>
      </w:pPr>
    </w:p>
    <w:p w14:paraId="1752946A" w14:textId="77777777" w:rsidR="001D0491" w:rsidRDefault="001D0491" w:rsidP="004F1E6B">
      <w:pPr>
        <w:ind w:firstLine="284"/>
        <w:jc w:val="both"/>
        <w:rPr>
          <w:rFonts w:ascii="Garamond" w:hAnsi="Garamond"/>
          <w:sz w:val="18"/>
          <w:szCs w:val="18"/>
        </w:rPr>
      </w:pPr>
    </w:p>
    <w:p w14:paraId="1EF456AF" w14:textId="77777777" w:rsidR="00786209" w:rsidRDefault="004F1E6B" w:rsidP="001D0491">
      <w:pPr>
        <w:jc w:val="both"/>
        <w:rPr>
          <w:rFonts w:ascii="Garamond" w:hAnsi="Garamond"/>
          <w:sz w:val="18"/>
          <w:szCs w:val="18"/>
        </w:rPr>
      </w:pPr>
      <w:r>
        <w:rPr>
          <w:rFonts w:ascii="Garamond" w:hAnsi="Garamond"/>
          <w:sz w:val="18"/>
          <w:szCs w:val="18"/>
        </w:rPr>
        <w:t xml:space="preserve">Per info: </w:t>
      </w:r>
    </w:p>
    <w:p w14:paraId="3B4BFC41" w14:textId="29A4A47C" w:rsidR="004F1E6B" w:rsidRPr="007A779A" w:rsidRDefault="00786209" w:rsidP="001D0491">
      <w:pPr>
        <w:jc w:val="both"/>
        <w:rPr>
          <w:rFonts w:ascii="Garamond" w:hAnsi="Garamond"/>
          <w:sz w:val="18"/>
          <w:szCs w:val="18"/>
        </w:rPr>
      </w:pPr>
      <w:hyperlink r:id="rId7" w:history="1">
        <w:r w:rsidRPr="00F27CE3">
          <w:rPr>
            <w:rStyle w:val="Collegamentoipertestuale"/>
            <w:rFonts w:ascii="Garamond" w:hAnsi="Garamond"/>
            <w:sz w:val="18"/>
            <w:szCs w:val="18"/>
          </w:rPr>
          <w:t>vcipullo@unior.it</w:t>
        </w:r>
      </w:hyperlink>
      <w:r w:rsidR="004F1E6B">
        <w:rPr>
          <w:rFonts w:ascii="Garamond" w:hAnsi="Garamond"/>
          <w:sz w:val="18"/>
          <w:szCs w:val="18"/>
        </w:rPr>
        <w:t xml:space="preserve">; </w:t>
      </w:r>
      <w:hyperlink r:id="rId8" w:history="1">
        <w:r w:rsidR="001D0491" w:rsidRPr="00F27CE3">
          <w:rPr>
            <w:rStyle w:val="Collegamentoipertestuale"/>
            <w:rFonts w:ascii="Garamond" w:hAnsi="Garamond"/>
            <w:sz w:val="18"/>
            <w:szCs w:val="18"/>
          </w:rPr>
          <w:t>mcinque@unior.it</w:t>
        </w:r>
      </w:hyperlink>
      <w:r w:rsidR="004F1E6B">
        <w:rPr>
          <w:rFonts w:ascii="Garamond" w:hAnsi="Garamond"/>
          <w:sz w:val="18"/>
          <w:szCs w:val="18"/>
        </w:rPr>
        <w:t>, 0816909024/013</w:t>
      </w:r>
    </w:p>
    <w:sectPr w:rsidR="004F1E6B" w:rsidRPr="007A779A" w:rsidSect="002225F7">
      <w:headerReference w:type="even" r:id="rId9"/>
      <w:headerReference w:type="default" r:id="rId10"/>
      <w:footerReference w:type="even" r:id="rId11"/>
      <w:footerReference w:type="default" r:id="rId12"/>
      <w:pgSz w:w="11907" w:h="16840" w:code="9"/>
      <w:pgMar w:top="3317" w:right="2268" w:bottom="3317" w:left="2268" w:header="2466" w:footer="25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8C5F1" w14:textId="77777777" w:rsidR="00106087" w:rsidRDefault="00106087" w:rsidP="00360419">
      <w:r>
        <w:separator/>
      </w:r>
    </w:p>
  </w:endnote>
  <w:endnote w:type="continuationSeparator" w:id="0">
    <w:p w14:paraId="6D06E331" w14:textId="77777777" w:rsidR="00106087" w:rsidRDefault="00106087" w:rsidP="00360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ITC New Baskerville IE Std">
    <w:altName w:val="Cambria"/>
    <w:panose1 w:val="02020602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Medium">
    <w:charset w:val="4D"/>
    <w:family w:val="auto"/>
    <w:pitch w:val="variable"/>
    <w:sig w:usb0="2000020F" w:usb1="00000003" w:usb2="00000000" w:usb3="00000000" w:csb0="00000197" w:csb1="00000000"/>
  </w:font>
  <w:font w:name="Montserrat">
    <w:charset w:val="4D"/>
    <w:family w:val="auto"/>
    <w:pitch w:val="variable"/>
    <w:sig w:usb0="2000020F" w:usb1="00000003" w:usb2="00000000" w:usb3="00000000" w:csb0="00000197"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Fonts w:ascii="Garamond" w:hAnsi="Garamond"/>
        <w:sz w:val="20"/>
        <w:szCs w:val="20"/>
      </w:rPr>
      <w:id w:val="17206352"/>
      <w:docPartObj>
        <w:docPartGallery w:val="Page Numbers (Bottom of Page)"/>
        <w:docPartUnique/>
      </w:docPartObj>
    </w:sdtPr>
    <w:sdtEndPr>
      <w:rPr>
        <w:rStyle w:val="Numeropagina"/>
      </w:rPr>
    </w:sdtEndPr>
    <w:sdtContent>
      <w:p w14:paraId="5D3E3FA3" w14:textId="229EFB40" w:rsidR="00360419" w:rsidRPr="00360419" w:rsidRDefault="00360419" w:rsidP="00F27CE3">
        <w:pPr>
          <w:pStyle w:val="Pidipagina"/>
          <w:framePr w:wrap="none" w:vAnchor="text" w:hAnchor="margin" w:xAlign="center" w:y="1"/>
          <w:rPr>
            <w:rStyle w:val="Numeropagina"/>
            <w:rFonts w:ascii="Garamond" w:hAnsi="Garamond"/>
            <w:sz w:val="20"/>
            <w:szCs w:val="20"/>
          </w:rPr>
        </w:pPr>
        <w:r w:rsidRPr="00360419">
          <w:rPr>
            <w:rStyle w:val="Numeropagina"/>
            <w:rFonts w:ascii="Garamond" w:hAnsi="Garamond"/>
            <w:sz w:val="20"/>
            <w:szCs w:val="20"/>
          </w:rPr>
          <w:fldChar w:fldCharType="begin"/>
        </w:r>
        <w:r w:rsidRPr="00360419">
          <w:rPr>
            <w:rStyle w:val="Numeropagina"/>
            <w:rFonts w:ascii="Garamond" w:hAnsi="Garamond"/>
            <w:sz w:val="20"/>
            <w:szCs w:val="20"/>
          </w:rPr>
          <w:instrText xml:space="preserve"> PAGE </w:instrText>
        </w:r>
        <w:r w:rsidRPr="00360419">
          <w:rPr>
            <w:rStyle w:val="Numeropagina"/>
            <w:rFonts w:ascii="Garamond" w:hAnsi="Garamond"/>
            <w:sz w:val="20"/>
            <w:szCs w:val="20"/>
          </w:rPr>
          <w:fldChar w:fldCharType="separate"/>
        </w:r>
        <w:r w:rsidRPr="00360419">
          <w:rPr>
            <w:rStyle w:val="Numeropagina"/>
            <w:rFonts w:ascii="Garamond" w:hAnsi="Garamond"/>
            <w:noProof/>
            <w:sz w:val="20"/>
            <w:szCs w:val="20"/>
          </w:rPr>
          <w:t>2</w:t>
        </w:r>
        <w:r w:rsidRPr="00360419">
          <w:rPr>
            <w:rStyle w:val="Numeropagina"/>
            <w:rFonts w:ascii="Garamond" w:hAnsi="Garamond"/>
            <w:sz w:val="20"/>
            <w:szCs w:val="20"/>
          </w:rPr>
          <w:fldChar w:fldCharType="end"/>
        </w:r>
      </w:p>
    </w:sdtContent>
  </w:sdt>
  <w:p w14:paraId="5D6DFDCB" w14:textId="77777777" w:rsidR="00360419" w:rsidRDefault="0036041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647407970"/>
      <w:docPartObj>
        <w:docPartGallery w:val="Page Numbers (Bottom of Page)"/>
        <w:docPartUnique/>
      </w:docPartObj>
    </w:sdtPr>
    <w:sdtEndPr>
      <w:rPr>
        <w:rStyle w:val="Numeropagina"/>
      </w:rPr>
    </w:sdtEndPr>
    <w:sdtContent>
      <w:p w14:paraId="1D301DC4" w14:textId="5B2A600E" w:rsidR="00360419" w:rsidRDefault="00360419" w:rsidP="00F27CE3">
        <w:pPr>
          <w:pStyle w:val="Pidipagina"/>
          <w:framePr w:wrap="none" w:vAnchor="text" w:hAnchor="margin" w:xAlign="center" w:y="1"/>
          <w:rPr>
            <w:rStyle w:val="Numeropagina"/>
          </w:rPr>
        </w:pPr>
        <w:r w:rsidRPr="00360419">
          <w:rPr>
            <w:rStyle w:val="Numeropagina"/>
            <w:rFonts w:ascii="Garamond" w:hAnsi="Garamond"/>
            <w:sz w:val="20"/>
            <w:szCs w:val="20"/>
          </w:rPr>
          <w:fldChar w:fldCharType="begin"/>
        </w:r>
        <w:r w:rsidRPr="00360419">
          <w:rPr>
            <w:rStyle w:val="Numeropagina"/>
            <w:rFonts w:ascii="Garamond" w:hAnsi="Garamond"/>
            <w:sz w:val="20"/>
            <w:szCs w:val="20"/>
          </w:rPr>
          <w:instrText xml:space="preserve"> PAGE </w:instrText>
        </w:r>
        <w:r w:rsidRPr="00360419">
          <w:rPr>
            <w:rStyle w:val="Numeropagina"/>
            <w:rFonts w:ascii="Garamond" w:hAnsi="Garamond"/>
            <w:sz w:val="20"/>
            <w:szCs w:val="20"/>
          </w:rPr>
          <w:fldChar w:fldCharType="separate"/>
        </w:r>
        <w:r w:rsidRPr="00360419">
          <w:rPr>
            <w:rStyle w:val="Numeropagina"/>
            <w:rFonts w:ascii="Garamond" w:hAnsi="Garamond"/>
            <w:noProof/>
            <w:sz w:val="20"/>
            <w:szCs w:val="20"/>
          </w:rPr>
          <w:t>2</w:t>
        </w:r>
        <w:r w:rsidRPr="00360419">
          <w:rPr>
            <w:rStyle w:val="Numeropagina"/>
            <w:rFonts w:ascii="Garamond" w:hAnsi="Garamond"/>
            <w:sz w:val="20"/>
            <w:szCs w:val="20"/>
          </w:rPr>
          <w:fldChar w:fldCharType="end"/>
        </w:r>
      </w:p>
    </w:sdtContent>
  </w:sdt>
  <w:p w14:paraId="390A18FC" w14:textId="0D8DA88F" w:rsidR="00360419" w:rsidRDefault="0036041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3F976" w14:textId="77777777" w:rsidR="00106087" w:rsidRDefault="00106087" w:rsidP="00360419">
      <w:r>
        <w:separator/>
      </w:r>
    </w:p>
  </w:footnote>
  <w:footnote w:type="continuationSeparator" w:id="0">
    <w:p w14:paraId="66B9B85B" w14:textId="77777777" w:rsidR="00106087" w:rsidRDefault="00106087" w:rsidP="00360419">
      <w:r>
        <w:continuationSeparator/>
      </w:r>
    </w:p>
  </w:footnote>
  <w:footnote w:id="1">
    <w:p w14:paraId="7B209472" w14:textId="5D2B69D9" w:rsidR="00360419" w:rsidRPr="00360419" w:rsidRDefault="00360419" w:rsidP="00360419">
      <w:pPr>
        <w:jc w:val="both"/>
        <w:rPr>
          <w:rFonts w:ascii="Garamond" w:hAnsi="Garamond" w:cs="Garamond"/>
          <w:sz w:val="18"/>
          <w:szCs w:val="18"/>
          <w:lang w:val="en-US"/>
        </w:rPr>
      </w:pPr>
      <w:r w:rsidRPr="00360419">
        <w:rPr>
          <w:rFonts w:ascii="Garamond" w:hAnsi="Garamond"/>
          <w:sz w:val="18"/>
          <w:szCs w:val="18"/>
          <w:vertAlign w:val="superscript"/>
        </w:rPr>
        <w:footnoteRef/>
      </w:r>
      <w:r w:rsidRPr="00360419">
        <w:rPr>
          <w:rFonts w:ascii="Garamond" w:hAnsi="Garamond" w:cs="Garamond"/>
          <w:sz w:val="18"/>
          <w:szCs w:val="18"/>
          <w:vertAlign w:val="superscript"/>
          <w:lang w:val="en-US"/>
        </w:rPr>
        <w:t>*</w:t>
      </w:r>
      <w:r w:rsidRPr="00360419">
        <w:rPr>
          <w:rFonts w:ascii="Garamond" w:hAnsi="Garamond" w:cs="Garamond"/>
          <w:sz w:val="18"/>
          <w:szCs w:val="18"/>
          <w:lang w:val="en-US"/>
        </w:rPr>
        <w:t xml:space="preserve"> The text was fully co-written, nevertheless, for evaluation purposes, the first paragraph is attributed to Fabiana Piretti, the second and third paragraphs to Luca Paolo Cirillo.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93C6" w14:textId="585E509B" w:rsidR="00360419" w:rsidRPr="00360419" w:rsidRDefault="00360419" w:rsidP="00360419">
    <w:pPr>
      <w:pStyle w:val="Intestazione"/>
      <w:jc w:val="center"/>
      <w:rPr>
        <w:rFonts w:ascii="Garamond" w:hAnsi="Garamond"/>
        <w:i/>
        <w:iCs/>
        <w:sz w:val="20"/>
        <w:szCs w:val="20"/>
        <w:lang w:val="en-US"/>
      </w:rPr>
    </w:pPr>
    <w:r w:rsidRPr="00360419">
      <w:rPr>
        <w:rFonts w:ascii="Garamond" w:hAnsi="Garamond"/>
        <w:i/>
        <w:iCs/>
        <w:sz w:val="20"/>
        <w:szCs w:val="20"/>
        <w:lang w:val="en-US"/>
      </w:rPr>
      <w:t>Citizenshop. On the commodification of EU citizenship rights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67D96" w14:textId="66CCA29F" w:rsidR="00360419" w:rsidRPr="00360419" w:rsidRDefault="00360419" w:rsidP="00360419">
    <w:pPr>
      <w:pStyle w:val="Intestazione"/>
      <w:jc w:val="center"/>
      <w:rPr>
        <w:rFonts w:ascii="Garamond" w:hAnsi="Garamond"/>
        <w:sz w:val="20"/>
        <w:szCs w:val="20"/>
      </w:rPr>
    </w:pPr>
    <w:r w:rsidRPr="00360419">
      <w:rPr>
        <w:rFonts w:ascii="Garamond" w:hAnsi="Garamond"/>
        <w:sz w:val="20"/>
        <w:szCs w:val="20"/>
      </w:rPr>
      <w:t>Luca Paolo Cirillo and Fabiana Piretti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419"/>
    <w:rsid w:val="00071417"/>
    <w:rsid w:val="00083318"/>
    <w:rsid w:val="000C2D3F"/>
    <w:rsid w:val="000C3C17"/>
    <w:rsid w:val="000E03F7"/>
    <w:rsid w:val="00106087"/>
    <w:rsid w:val="00173440"/>
    <w:rsid w:val="001B57D0"/>
    <w:rsid w:val="001C5AD5"/>
    <w:rsid w:val="001C600D"/>
    <w:rsid w:val="001D0491"/>
    <w:rsid w:val="001F2574"/>
    <w:rsid w:val="002225F7"/>
    <w:rsid w:val="00291B21"/>
    <w:rsid w:val="002C7A5E"/>
    <w:rsid w:val="0031581F"/>
    <w:rsid w:val="00346CC4"/>
    <w:rsid w:val="0035761D"/>
    <w:rsid w:val="00360419"/>
    <w:rsid w:val="003C4C23"/>
    <w:rsid w:val="00400406"/>
    <w:rsid w:val="00437361"/>
    <w:rsid w:val="004F1E6B"/>
    <w:rsid w:val="005568B2"/>
    <w:rsid w:val="0058787B"/>
    <w:rsid w:val="00602125"/>
    <w:rsid w:val="00607AE8"/>
    <w:rsid w:val="00625040"/>
    <w:rsid w:val="006461AD"/>
    <w:rsid w:val="006506D7"/>
    <w:rsid w:val="006A0FDF"/>
    <w:rsid w:val="006F6175"/>
    <w:rsid w:val="007149BD"/>
    <w:rsid w:val="0072174A"/>
    <w:rsid w:val="00722F71"/>
    <w:rsid w:val="00767562"/>
    <w:rsid w:val="00786209"/>
    <w:rsid w:val="007A779A"/>
    <w:rsid w:val="00801E5F"/>
    <w:rsid w:val="00822F02"/>
    <w:rsid w:val="0088091E"/>
    <w:rsid w:val="008C67A4"/>
    <w:rsid w:val="008D627F"/>
    <w:rsid w:val="008F326D"/>
    <w:rsid w:val="00927DC3"/>
    <w:rsid w:val="009309EB"/>
    <w:rsid w:val="00936603"/>
    <w:rsid w:val="009374DA"/>
    <w:rsid w:val="009513A9"/>
    <w:rsid w:val="0099515B"/>
    <w:rsid w:val="009C4BAA"/>
    <w:rsid w:val="009E1C4C"/>
    <w:rsid w:val="00A076F4"/>
    <w:rsid w:val="00A15A9D"/>
    <w:rsid w:val="00A32BB3"/>
    <w:rsid w:val="00AB63E1"/>
    <w:rsid w:val="00AC49AC"/>
    <w:rsid w:val="00AD69CE"/>
    <w:rsid w:val="00AF0799"/>
    <w:rsid w:val="00B46891"/>
    <w:rsid w:val="00B54874"/>
    <w:rsid w:val="00B853C0"/>
    <w:rsid w:val="00BE3999"/>
    <w:rsid w:val="00C01ACE"/>
    <w:rsid w:val="00C14875"/>
    <w:rsid w:val="00C3600E"/>
    <w:rsid w:val="00C54CFA"/>
    <w:rsid w:val="00C95F97"/>
    <w:rsid w:val="00CA6C2A"/>
    <w:rsid w:val="00CD1261"/>
    <w:rsid w:val="00CE70C8"/>
    <w:rsid w:val="00DA7AB6"/>
    <w:rsid w:val="00DC4422"/>
    <w:rsid w:val="00DC4436"/>
    <w:rsid w:val="00DD0A49"/>
    <w:rsid w:val="00DE1D28"/>
    <w:rsid w:val="00E0042C"/>
    <w:rsid w:val="00E04D45"/>
    <w:rsid w:val="00E05F12"/>
    <w:rsid w:val="00E06C95"/>
    <w:rsid w:val="00EE5FFD"/>
    <w:rsid w:val="00F9039B"/>
    <w:rsid w:val="00FD737B"/>
    <w:rsid w:val="00FF7807"/>
  </w:rsids>
  <m:mathPr>
    <m:mathFont m:val="Cambria Math"/>
    <m:brkBin m:val="before"/>
    <m:brkBinSub m:val="--"/>
    <m:smallFrac m:val="0"/>
    <m:dispDef/>
    <m:lMargin m:val="0"/>
    <m:rMargin m:val="0"/>
    <m:defJc m:val="centerGroup"/>
    <m:wrapIndent m:val="1440"/>
    <m:intLim m:val="subSup"/>
    <m:naryLim m:val="undOvr"/>
  </m:mathPr>
  <w:themeFontLang w:val="it-IT"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90EAB"/>
  <w15:chartTrackingRefBased/>
  <w15:docId w15:val="{D47B280A-D658-9D42-B6F6-702CBD90E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604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604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6041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6041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6041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6041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6041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6041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6041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teFigure">
    <w:name w:val="NoteFigure"/>
    <w:basedOn w:val="Normale"/>
    <w:autoRedefine/>
    <w:qFormat/>
    <w:rsid w:val="00AC49AC"/>
    <w:pPr>
      <w:spacing w:before="100" w:line="210" w:lineRule="exact"/>
      <w:jc w:val="both"/>
    </w:pPr>
    <w:rPr>
      <w:rFonts w:ascii="Times New Roman" w:hAnsi="Times New Roman" w:cs="Times New Roman"/>
      <w:b/>
      <w:sz w:val="18"/>
      <w:szCs w:val="18"/>
      <w:lang w:val="en-US"/>
    </w:rPr>
  </w:style>
  <w:style w:type="paragraph" w:customStyle="1" w:styleId="NOTEFIGUREGENITO">
    <w:name w:val="NOTE_FIGURE_GENITO"/>
    <w:basedOn w:val="Didascalia"/>
    <w:autoRedefine/>
    <w:qFormat/>
    <w:rsid w:val="0088091E"/>
    <w:pPr>
      <w:widowControl w:val="0"/>
      <w:suppressAutoHyphens/>
      <w:autoSpaceDN w:val="0"/>
      <w:spacing w:before="100" w:after="0" w:line="210" w:lineRule="exact"/>
      <w:jc w:val="both"/>
      <w:textAlignment w:val="baseline"/>
    </w:pPr>
    <w:rPr>
      <w:rFonts w:ascii="ITC New Baskerville IE Std" w:eastAsia="Times New Roman" w:hAnsi="ITC New Baskerville IE Std" w:cs="Times New Roman"/>
      <w:b/>
      <w:bCs/>
      <w:i w:val="0"/>
      <w:iCs w:val="0"/>
      <w:color w:val="000000"/>
      <w:kern w:val="3"/>
      <w:lang w:eastAsia="it-IT"/>
    </w:rPr>
  </w:style>
  <w:style w:type="paragraph" w:styleId="Didascalia">
    <w:name w:val="caption"/>
    <w:basedOn w:val="Normale"/>
    <w:next w:val="Normale"/>
    <w:uiPriority w:val="35"/>
    <w:semiHidden/>
    <w:unhideWhenUsed/>
    <w:qFormat/>
    <w:rsid w:val="0088091E"/>
    <w:pPr>
      <w:spacing w:after="200"/>
    </w:pPr>
    <w:rPr>
      <w:i/>
      <w:iCs/>
      <w:color w:val="0E2841" w:themeColor="text2"/>
      <w:sz w:val="18"/>
      <w:szCs w:val="18"/>
    </w:rPr>
  </w:style>
  <w:style w:type="paragraph" w:customStyle="1" w:styleId="Titolicorsivorosso10pt">
    <w:name w:val="Titoli corsivo rosso 10 pt"/>
    <w:basedOn w:val="Normale"/>
    <w:autoRedefine/>
    <w:qFormat/>
    <w:rsid w:val="00DA7AB6"/>
    <w:pPr>
      <w:spacing w:line="226" w:lineRule="auto"/>
      <w:jc w:val="both"/>
    </w:pPr>
    <w:rPr>
      <w:rFonts w:ascii="Arial" w:eastAsia="Times New Roman" w:hAnsi="Arial" w:cs="Arial"/>
      <w:i/>
      <w:color w:val="860035"/>
      <w:sz w:val="20"/>
      <w:szCs w:val="20"/>
      <w:lang w:eastAsia="it-IT"/>
    </w:rPr>
  </w:style>
  <w:style w:type="paragraph" w:styleId="Sommario1">
    <w:name w:val="toc 1"/>
    <w:basedOn w:val="Normale"/>
    <w:next w:val="Normale"/>
    <w:autoRedefine/>
    <w:uiPriority w:val="39"/>
    <w:unhideWhenUsed/>
    <w:rsid w:val="000E03F7"/>
    <w:pPr>
      <w:tabs>
        <w:tab w:val="right" w:leader="dot" w:pos="9639"/>
      </w:tabs>
      <w:spacing w:before="360"/>
      <w:ind w:left="2835"/>
    </w:pPr>
    <w:rPr>
      <w:rFonts w:ascii="Montserrat Medium" w:hAnsi="Montserrat Medium" w:cs="Times New Roman"/>
      <w:bCs/>
      <w:caps/>
      <w:color w:val="000000" w:themeColor="text1"/>
      <w:sz w:val="22"/>
      <w:szCs w:val="28"/>
    </w:rPr>
  </w:style>
  <w:style w:type="paragraph" w:styleId="Sommario2">
    <w:name w:val="toc 2"/>
    <w:basedOn w:val="Normale"/>
    <w:next w:val="Normale"/>
    <w:autoRedefine/>
    <w:uiPriority w:val="39"/>
    <w:unhideWhenUsed/>
    <w:rsid w:val="000E03F7"/>
    <w:pPr>
      <w:tabs>
        <w:tab w:val="right" w:leader="dot" w:pos="9639"/>
      </w:tabs>
      <w:spacing w:before="200"/>
      <w:ind w:left="3119"/>
    </w:pPr>
    <w:rPr>
      <w:rFonts w:ascii="Montserrat Medium" w:hAnsi="Montserrat Medium" w:cs="Times New Roman"/>
      <w:bCs/>
      <w:color w:val="000000" w:themeColor="text1"/>
      <w:sz w:val="20"/>
    </w:rPr>
  </w:style>
  <w:style w:type="table" w:styleId="Grigliatabella">
    <w:name w:val="Table Grid"/>
    <w:aliases w:val="TABELLA_FREDENG"/>
    <w:basedOn w:val="Tabellanormale"/>
    <w:uiPriority w:val="39"/>
    <w:rsid w:val="000E03F7"/>
    <w:pPr>
      <w:ind w:left="284"/>
    </w:pPr>
    <w:tblPr>
      <w:tblBorders>
        <w:bottom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Montserrat" w:hAnsi="Montserrat"/>
        <w:b/>
        <w:i w:val="0"/>
        <w:sz w:val="22"/>
      </w:rPr>
      <w:tblPr/>
      <w:tcPr>
        <w:tcBorders>
          <w:top w:val="nil"/>
          <w:left w:val="nil"/>
          <w:bottom w:val="nil"/>
          <w:right w:val="nil"/>
          <w:insideH w:val="single" w:sz="4" w:space="0" w:color="auto"/>
          <w:insideV w:val="single" w:sz="4" w:space="0" w:color="auto"/>
          <w:tl2br w:val="nil"/>
          <w:tr2bl w:val="nil"/>
        </w:tcBorders>
      </w:tcPr>
    </w:tblStylePr>
    <w:tblStylePr w:type="lastRow">
      <w:pPr>
        <w:wordWrap/>
        <w:spacing w:line="240" w:lineRule="auto"/>
        <w:ind w:leftChars="0" w:left="284" w:rightChars="0" w:right="0" w:firstLineChars="0" w:firstLine="0"/>
      </w:pPr>
      <w:rPr>
        <w:rFonts w:ascii="Montserrat" w:hAnsi="Montserrat"/>
        <w:b w:val="0"/>
        <w:i w:val="0"/>
        <w:sz w:val="20"/>
      </w:rPr>
    </w:tblStylePr>
    <w:tblStylePr w:type="swCell">
      <w:pPr>
        <w:wordWrap/>
        <w:spacing w:line="240" w:lineRule="auto"/>
        <w:ind w:leftChars="0" w:left="284"/>
        <w:jc w:val="left"/>
      </w:pPr>
      <w:rPr>
        <w:rFonts w:ascii="Montserrat" w:hAnsi="Montserrat"/>
        <w:b/>
        <w:i w:val="0"/>
      </w:rPr>
    </w:tblStylePr>
  </w:style>
  <w:style w:type="character" w:customStyle="1" w:styleId="Titolo1Carattere">
    <w:name w:val="Titolo 1 Carattere"/>
    <w:basedOn w:val="Carpredefinitoparagrafo"/>
    <w:link w:val="Titolo1"/>
    <w:uiPriority w:val="9"/>
    <w:rsid w:val="0036041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6041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6041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6041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6041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6041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6041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6041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60419"/>
    <w:rPr>
      <w:rFonts w:eastAsiaTheme="majorEastAsia" w:cstheme="majorBidi"/>
      <w:color w:val="272727" w:themeColor="text1" w:themeTint="D8"/>
    </w:rPr>
  </w:style>
  <w:style w:type="paragraph" w:styleId="Titolo">
    <w:name w:val="Title"/>
    <w:basedOn w:val="Normale"/>
    <w:next w:val="Normale"/>
    <w:link w:val="TitoloCarattere"/>
    <w:uiPriority w:val="10"/>
    <w:qFormat/>
    <w:rsid w:val="0036041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6041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60419"/>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6041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60419"/>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360419"/>
    <w:rPr>
      <w:i/>
      <w:iCs/>
      <w:color w:val="404040" w:themeColor="text1" w:themeTint="BF"/>
    </w:rPr>
  </w:style>
  <w:style w:type="paragraph" w:styleId="Paragrafoelenco">
    <w:name w:val="List Paragraph"/>
    <w:basedOn w:val="Normale"/>
    <w:uiPriority w:val="34"/>
    <w:qFormat/>
    <w:rsid w:val="00360419"/>
    <w:pPr>
      <w:ind w:left="720"/>
      <w:contextualSpacing/>
    </w:pPr>
  </w:style>
  <w:style w:type="character" w:styleId="Enfasiintensa">
    <w:name w:val="Intense Emphasis"/>
    <w:basedOn w:val="Carpredefinitoparagrafo"/>
    <w:uiPriority w:val="21"/>
    <w:qFormat/>
    <w:rsid w:val="00360419"/>
    <w:rPr>
      <w:i/>
      <w:iCs/>
      <w:color w:val="0F4761" w:themeColor="accent1" w:themeShade="BF"/>
    </w:rPr>
  </w:style>
  <w:style w:type="paragraph" w:styleId="Citazioneintensa">
    <w:name w:val="Intense Quote"/>
    <w:basedOn w:val="Normale"/>
    <w:next w:val="Normale"/>
    <w:link w:val="CitazioneintensaCarattere"/>
    <w:uiPriority w:val="30"/>
    <w:qFormat/>
    <w:rsid w:val="003604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60419"/>
    <w:rPr>
      <w:i/>
      <w:iCs/>
      <w:color w:val="0F4761" w:themeColor="accent1" w:themeShade="BF"/>
    </w:rPr>
  </w:style>
  <w:style w:type="character" w:styleId="Riferimentointenso">
    <w:name w:val="Intense Reference"/>
    <w:basedOn w:val="Carpredefinitoparagrafo"/>
    <w:uiPriority w:val="32"/>
    <w:qFormat/>
    <w:rsid w:val="00360419"/>
    <w:rPr>
      <w:b/>
      <w:bCs/>
      <w:smallCaps/>
      <w:color w:val="0F4761" w:themeColor="accent1" w:themeShade="BF"/>
      <w:spacing w:val="5"/>
    </w:rPr>
  </w:style>
  <w:style w:type="paragraph" w:styleId="Intestazione">
    <w:name w:val="header"/>
    <w:basedOn w:val="Normale"/>
    <w:link w:val="IntestazioneCarattere"/>
    <w:uiPriority w:val="99"/>
    <w:unhideWhenUsed/>
    <w:rsid w:val="00360419"/>
    <w:pPr>
      <w:tabs>
        <w:tab w:val="center" w:pos="4819"/>
        <w:tab w:val="right" w:pos="9638"/>
      </w:tabs>
    </w:pPr>
  </w:style>
  <w:style w:type="character" w:customStyle="1" w:styleId="IntestazioneCarattere">
    <w:name w:val="Intestazione Carattere"/>
    <w:basedOn w:val="Carpredefinitoparagrafo"/>
    <w:link w:val="Intestazione"/>
    <w:uiPriority w:val="99"/>
    <w:rsid w:val="00360419"/>
  </w:style>
  <w:style w:type="paragraph" w:styleId="Pidipagina">
    <w:name w:val="footer"/>
    <w:basedOn w:val="Normale"/>
    <w:link w:val="PidipaginaCarattere"/>
    <w:uiPriority w:val="99"/>
    <w:unhideWhenUsed/>
    <w:rsid w:val="00360419"/>
    <w:pPr>
      <w:tabs>
        <w:tab w:val="center" w:pos="4819"/>
        <w:tab w:val="right" w:pos="9638"/>
      </w:tabs>
    </w:pPr>
  </w:style>
  <w:style w:type="character" w:customStyle="1" w:styleId="PidipaginaCarattere">
    <w:name w:val="Piè di pagina Carattere"/>
    <w:basedOn w:val="Carpredefinitoparagrafo"/>
    <w:link w:val="Pidipagina"/>
    <w:uiPriority w:val="99"/>
    <w:rsid w:val="00360419"/>
  </w:style>
  <w:style w:type="character" w:styleId="Numeropagina">
    <w:name w:val="page number"/>
    <w:basedOn w:val="Carpredefinitoparagrafo"/>
    <w:uiPriority w:val="99"/>
    <w:semiHidden/>
    <w:unhideWhenUsed/>
    <w:rsid w:val="00360419"/>
  </w:style>
  <w:style w:type="character" w:styleId="Collegamentoipertestuale">
    <w:name w:val="Hyperlink"/>
    <w:basedOn w:val="Carpredefinitoparagrafo"/>
    <w:uiPriority w:val="99"/>
    <w:unhideWhenUsed/>
    <w:rsid w:val="004F1E6B"/>
    <w:rPr>
      <w:color w:val="467886" w:themeColor="hyperlink"/>
      <w:u w:val="single"/>
    </w:rPr>
  </w:style>
  <w:style w:type="character" w:styleId="Menzionenonrisolta">
    <w:name w:val="Unresolved Mention"/>
    <w:basedOn w:val="Carpredefinitoparagrafo"/>
    <w:uiPriority w:val="99"/>
    <w:semiHidden/>
    <w:unhideWhenUsed/>
    <w:rsid w:val="004F1E6B"/>
    <w:rPr>
      <w:color w:val="605E5C"/>
      <w:shd w:val="clear" w:color="auto" w:fill="E1DFDD"/>
    </w:rPr>
  </w:style>
  <w:style w:type="character" w:styleId="Collegamentovisitato">
    <w:name w:val="FollowedHyperlink"/>
    <w:basedOn w:val="Carpredefinitoparagrafo"/>
    <w:uiPriority w:val="99"/>
    <w:semiHidden/>
    <w:unhideWhenUsed/>
    <w:rsid w:val="004F1E6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inque@unior.i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vcipullo@unior.it"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1478</Words>
  <Characters>8428</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De Luca</dc:creator>
  <cp:keywords/>
  <dc:description/>
  <cp:lastModifiedBy>desktop_Enzo</cp:lastModifiedBy>
  <cp:revision>7</cp:revision>
  <dcterms:created xsi:type="dcterms:W3CDTF">2025-02-14T10:46:00Z</dcterms:created>
  <dcterms:modified xsi:type="dcterms:W3CDTF">2025-02-18T10:53:00Z</dcterms:modified>
</cp:coreProperties>
</file>